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eastAsia="zh-CN"/>
        </w:rPr>
        <w:t>三河市</w:t>
      </w:r>
      <w:r>
        <w:rPr>
          <w:rFonts w:hint="eastAsia" w:ascii="Times New Roman" w:hAnsi="Times New Roman" w:eastAsia="方正小标宋简体" w:cs="Times New Roman"/>
          <w:sz w:val="44"/>
          <w:szCs w:val="44"/>
        </w:rPr>
        <w:t>燕郊高新技术产业开发区管理委员会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部门</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bookmarkStart w:id="49" w:name="_GoBack"/>
      <w:bookmarkEnd w:id="49"/>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燕郊高新技术产业开发区管理委员会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部门</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部门</w:t>
      </w:r>
      <w:r>
        <w:rPr>
          <w:rFonts w:ascii="Times New Roman" w:hAnsi="Times New Roman" w:eastAsia="楷体_GB2312" w:cs="Times New Roman"/>
          <w:b/>
          <w:sz w:val="32"/>
          <w:szCs w:val="32"/>
        </w:rPr>
        <w:t>职责：</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燕郊高新区党工委、管委作为三河市委、市政府的派出机构，承担着高新区范围内的政治、经济、文化及社会管理职能</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主要包括：</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一是城市管理职能。燕郊高新区又称</w:t>
      </w:r>
      <w:r>
        <w:rPr>
          <w:rFonts w:hint="eastAsia" w:ascii="Times New Roman" w:hAnsi="Times New Roman" w:eastAsia="仿宋_GB2312" w:cs="Times New Roman"/>
          <w:sz w:val="32"/>
          <w:szCs w:val="32"/>
          <w:lang w:val="en-US" w:eastAsia="zh-CN"/>
        </w:rPr>
        <w:t>三河</w:t>
      </w:r>
      <w:r>
        <w:rPr>
          <w:rFonts w:hint="eastAsia" w:ascii="Times New Roman" w:hAnsi="Times New Roman" w:eastAsia="仿宋_GB2312" w:cs="Times New Roman"/>
          <w:sz w:val="32"/>
          <w:szCs w:val="32"/>
        </w:rPr>
        <w:t>西市区，城市道路、管网、通讯、水、电、环境、卫生等各种公共设施繁多，维护和管理的任务繁重。二是社会管理职能。燕郊高新区管委会代</w:t>
      </w:r>
      <w:r>
        <w:rPr>
          <w:rFonts w:hint="eastAsia" w:ascii="Times New Roman" w:hAnsi="Times New Roman" w:eastAsia="仿宋_GB2312" w:cs="Times New Roman"/>
          <w:sz w:val="32"/>
          <w:szCs w:val="32"/>
          <w:lang w:val="en-US" w:eastAsia="zh-CN"/>
        </w:rPr>
        <w:t>三河市</w:t>
      </w:r>
      <w:r>
        <w:rPr>
          <w:rFonts w:hint="eastAsia" w:ascii="Times New Roman" w:hAnsi="Times New Roman" w:eastAsia="仿宋_GB2312" w:cs="Times New Roman"/>
          <w:sz w:val="32"/>
          <w:szCs w:val="32"/>
        </w:rPr>
        <w:t>政府</w:t>
      </w:r>
      <w:r>
        <w:rPr>
          <w:rFonts w:hint="eastAsia" w:ascii="Times New Roman" w:hAnsi="Times New Roman" w:eastAsia="仿宋_GB2312" w:cs="Times New Roman"/>
          <w:sz w:val="32"/>
          <w:szCs w:val="32"/>
          <w:lang w:val="en-US" w:eastAsia="zh-CN"/>
        </w:rPr>
        <w:t>行使</w:t>
      </w:r>
      <w:r>
        <w:rPr>
          <w:rFonts w:hint="eastAsia" w:ascii="Times New Roman" w:hAnsi="Times New Roman" w:eastAsia="仿宋_GB2312" w:cs="Times New Roman"/>
          <w:sz w:val="32"/>
          <w:szCs w:val="32"/>
        </w:rPr>
        <w:t>社会管理的职能，包括维护社会正常秩序、协调城乡关系、政企关系、干群关系、协调驻区机构关系</w:t>
      </w:r>
      <w:r>
        <w:rPr>
          <w:rFonts w:hint="eastAsia" w:ascii="Times New Roman" w:hAnsi="Times New Roman" w:eastAsia="仿宋_GB2312" w:cs="Times New Roman"/>
          <w:sz w:val="32"/>
          <w:szCs w:val="32"/>
          <w:lang w:val="en-US" w:eastAsia="zh-CN"/>
        </w:rPr>
        <w:t>等</w:t>
      </w:r>
      <w:r>
        <w:rPr>
          <w:rFonts w:hint="eastAsia" w:ascii="Times New Roman" w:hAnsi="Times New Roman" w:eastAsia="仿宋_GB2312" w:cs="Times New Roman"/>
          <w:sz w:val="32"/>
          <w:szCs w:val="32"/>
        </w:rPr>
        <w:t>。三是招商引资职能。燕郊高新区作为</w:t>
      </w:r>
      <w:r>
        <w:rPr>
          <w:rFonts w:hint="eastAsia" w:ascii="Times New Roman" w:hAnsi="Times New Roman" w:eastAsia="仿宋_GB2312" w:cs="Times New Roman"/>
          <w:sz w:val="32"/>
          <w:szCs w:val="32"/>
          <w:lang w:val="en-US" w:eastAsia="zh-CN"/>
        </w:rPr>
        <w:t>三河</w:t>
      </w:r>
      <w:r>
        <w:rPr>
          <w:rFonts w:hint="eastAsia" w:ascii="Times New Roman" w:hAnsi="Times New Roman" w:eastAsia="仿宋_GB2312" w:cs="Times New Roman"/>
          <w:sz w:val="32"/>
          <w:szCs w:val="32"/>
        </w:rPr>
        <w:t>市经济</w:t>
      </w:r>
      <w:r>
        <w:rPr>
          <w:rFonts w:hint="eastAsia" w:ascii="Times New Roman" w:hAnsi="Times New Roman" w:eastAsia="仿宋_GB2312" w:cs="Times New Roman"/>
          <w:sz w:val="32"/>
          <w:szCs w:val="32"/>
          <w:lang w:val="en-US" w:eastAsia="zh-CN"/>
        </w:rPr>
        <w:t>发展</w:t>
      </w:r>
      <w:r>
        <w:rPr>
          <w:rFonts w:hint="eastAsia" w:ascii="Times New Roman" w:hAnsi="Times New Roman" w:eastAsia="仿宋_GB2312" w:cs="Times New Roman"/>
          <w:sz w:val="32"/>
          <w:szCs w:val="32"/>
        </w:rPr>
        <w:t>的窗口和龙头，招商引资工作是各项工作的重中之重。四是维护稳定职能。按照属地管理的原则，高新区有“保一方平安”的维护稳定职能。</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燕郊高新技术产业开发区管理委员会共有以下职能</w:t>
      </w:r>
      <w:r>
        <w:rPr>
          <w:rFonts w:hint="eastAsia" w:ascii="Times New Roman" w:hAnsi="Times New Roman" w:eastAsia="仿宋_GB2312" w:cs="Times New Roman"/>
          <w:sz w:val="32"/>
          <w:szCs w:val="32"/>
          <w:lang w:eastAsia="zh-CN"/>
        </w:rPr>
        <w:t>部门</w:t>
      </w:r>
      <w:r>
        <w:rPr>
          <w:rFonts w:hint="eastAsia" w:ascii="Times New Roman" w:hAnsi="Times New Roman" w:eastAsia="仿宋_GB2312" w:cs="Times New Roman"/>
          <w:sz w:val="32"/>
          <w:szCs w:val="32"/>
        </w:rPr>
        <w:t>：燕郊高新区招商中心、燕郊高新区创业孵化中心、燕郊高新区宣传策划中心、城市建设投资公司、开发建设投资公司、机场建设处、燕郊高新区综合办公室、燕郊高新区党建办公室、燕郊高新区社会事务办、燕郊高新区督察专员办公室、燕郊高新区群众工作中心、燕郊高新区人力资源管理局、燕郊高新区财政金融保障局、燕郊高新区科技和产业服务局、燕郊高新区投资服务局、燕郊高新区战略研究中心、燕郊高新区国土规划局、燕郊高新区住房建设局、燕郊高新区综合执法局、燕郊高新区应急管理局、燕郊高新区市政园林管理局、燕郊高新区行政审批局、燕郊高新区纪工委、燕郊高新区工会、团委、妇联。</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部门</w:t>
      </w:r>
      <w:r>
        <w:rPr>
          <w:rFonts w:ascii="Times New Roman" w:hAnsi="Times New Roman" w:eastAsia="仿宋_GB2312" w:cs="Times New Roman"/>
          <w:b/>
          <w:sz w:val="32"/>
          <w:szCs w:val="24"/>
        </w:rPr>
        <w:t>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eastAsia" w:ascii="Times New Roman" w:hAnsi="Times New Roman" w:eastAsia="仿宋_GB2312" w:cs="Times New Roman"/>
                <w:b/>
                <w:szCs w:val="24"/>
                <w:lang w:eastAsia="zh-CN"/>
              </w:rPr>
              <w:t>部门</w:t>
            </w:r>
            <w:r>
              <w:rPr>
                <w:rFonts w:hint="default" w:ascii="Times New Roman" w:hAnsi="Times New Roman" w:eastAsia="仿宋_GB2312" w:cs="Times New Roman"/>
                <w:b/>
                <w:szCs w:val="24"/>
              </w:rPr>
              <w:t>名称</w:t>
            </w:r>
          </w:p>
        </w:tc>
        <w:tc>
          <w:tcPr>
            <w:tcW w:w="1134"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eastAsia" w:ascii="Times New Roman" w:hAnsi="Times New Roman" w:eastAsia="仿宋_GB2312" w:cs="Times New Roman"/>
                <w:b/>
                <w:szCs w:val="24"/>
                <w:lang w:eastAsia="zh-CN"/>
              </w:rPr>
              <w:t>部门</w:t>
            </w:r>
            <w:r>
              <w:rPr>
                <w:rFonts w:hint="default" w:ascii="Times New Roman" w:hAnsi="Times New Roman" w:eastAsia="仿宋_GB2312" w:cs="Times New Roman"/>
                <w:b/>
                <w:szCs w:val="24"/>
              </w:rPr>
              <w:t>性质</w:t>
            </w:r>
          </w:p>
        </w:tc>
        <w:tc>
          <w:tcPr>
            <w:tcW w:w="1276"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eastAsia" w:ascii="Times New Roman" w:hAnsi="Times New Roman" w:eastAsia="仿宋_GB2312" w:cs="Times New Roman"/>
                <w:b/>
                <w:szCs w:val="24"/>
                <w:lang w:eastAsia="zh-CN"/>
              </w:rPr>
              <w:t>部门</w:t>
            </w:r>
            <w:r>
              <w:rPr>
                <w:rFonts w:hint="default" w:ascii="Times New Roman" w:hAnsi="Times New Roman" w:eastAsia="仿宋_GB2312" w:cs="Times New Roman"/>
                <w:b/>
                <w:szCs w:val="24"/>
              </w:rPr>
              <w:t>规格</w:t>
            </w:r>
          </w:p>
        </w:tc>
        <w:tc>
          <w:tcPr>
            <w:tcW w:w="2902"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134"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276"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90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燕郊高新技术产业开发区管理委员会</w:t>
            </w:r>
          </w:p>
        </w:tc>
        <w:tc>
          <w:tcPr>
            <w:tcW w:w="1134"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rPr>
              <w:t>行政</w:t>
            </w:r>
            <w:r>
              <w:rPr>
                <w:rFonts w:hint="eastAsia" w:ascii="Times New Roman" w:hAnsi="Times New Roman" w:eastAsia="仿宋_GB2312" w:cs="Times New Roman"/>
                <w:b/>
                <w:lang w:eastAsia="zh-CN"/>
              </w:rPr>
              <w:t>部门</w:t>
            </w:r>
          </w:p>
        </w:tc>
        <w:tc>
          <w:tcPr>
            <w:tcW w:w="1276"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正处级</w:t>
            </w:r>
          </w:p>
        </w:tc>
        <w:tc>
          <w:tcPr>
            <w:tcW w:w="2902" w:type="dxa"/>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rPr>
            </w:pPr>
            <w:r>
              <w:rPr>
                <w:rFonts w:hint="eastAsia"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部门</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燕郊高新技术产业开发区管理委员会</w:t>
      </w:r>
      <w:r>
        <w:rPr>
          <w:rFonts w:ascii="Times New Roman" w:hAnsi="Times New Roman" w:eastAsia="仿宋_GB2312" w:cs="Times New Roman"/>
          <w:sz w:val="32"/>
          <w:szCs w:val="32"/>
        </w:rPr>
        <w:t>机关的收支包含在</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136070.43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58331.22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75758.00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1981.21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燕郊高新技术产业开发区管理委员会</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136070.43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9071.22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8379.3</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691.9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126999.21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城市管理业务费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环境卫生维护费、城市基础设施运行维护费</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，以及列入上述类别的城市基础设施建设支出</w:t>
      </w:r>
      <w:r>
        <w:rPr>
          <w:rFonts w:ascii="Times New Roman" w:hAnsi="Times New Roman" w:eastAsia="仿宋_GB2312" w:cs="Times New Roman"/>
          <w:sz w:val="32"/>
          <w:szCs w:val="32"/>
        </w:rPr>
        <w:t>。</w:t>
      </w:r>
    </w:p>
    <w:p>
      <w:pPr>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136070.43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ascii="Times New Roman" w:hAnsi="Times New Roman" w:eastAsia="仿宋_GB2312" w:cs="Times New Roman"/>
          <w:sz w:val="32"/>
          <w:szCs w:val="32"/>
          <w:highlight w:val="none"/>
        </w:rPr>
        <w:t>预算</w:t>
      </w:r>
      <w:r>
        <w:rPr>
          <w:rFonts w:hint="eastAsia" w:ascii="Times New Roman" w:hAnsi="Times New Roman" w:eastAsia="仿宋_GB2312" w:cs="Times New Roman"/>
          <w:sz w:val="32"/>
          <w:szCs w:val="32"/>
          <w:highlight w:val="none"/>
          <w:lang w:eastAsia="zh-CN"/>
        </w:rPr>
        <w:t>增加</w:t>
      </w:r>
      <w:r>
        <w:rPr>
          <w:rFonts w:hint="eastAsia" w:ascii="Times New Roman" w:hAnsi="Times New Roman" w:eastAsia="仿宋_GB2312" w:cs="Times New Roman"/>
          <w:sz w:val="32"/>
          <w:szCs w:val="32"/>
          <w:highlight w:val="none"/>
          <w:lang w:val="en-US" w:eastAsia="zh-CN"/>
        </w:rPr>
        <w:t>16342.52</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val="en-US" w:eastAsia="zh-CN"/>
        </w:rPr>
        <w:t>174.55</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eastAsia="zh-CN"/>
        </w:rPr>
        <w:t>人员晋档晋级</w:t>
      </w:r>
      <w:r>
        <w:rPr>
          <w:rFonts w:hint="eastAsia" w:ascii="Times New Roman" w:hAnsi="Times New Roman" w:eastAsia="仿宋_GB2312" w:cs="Times New Roman"/>
          <w:sz w:val="32"/>
          <w:szCs w:val="32"/>
          <w:highlight w:val="none"/>
        </w:rPr>
        <w:t>及社保</w:t>
      </w:r>
      <w:r>
        <w:rPr>
          <w:rFonts w:hint="eastAsia" w:ascii="Times New Roman" w:hAnsi="Times New Roman" w:eastAsia="仿宋_GB2312" w:cs="Times New Roman"/>
          <w:sz w:val="32"/>
          <w:szCs w:val="32"/>
          <w:highlight w:val="none"/>
          <w:lang w:eastAsia="zh-CN"/>
        </w:rPr>
        <w:t>基数调整</w:t>
      </w:r>
      <w:r>
        <w:rPr>
          <w:rFonts w:hint="eastAsia" w:ascii="Times New Roman" w:hAnsi="Times New Roman" w:eastAsia="仿宋_GB2312" w:cs="Times New Roman"/>
          <w:sz w:val="32"/>
          <w:szCs w:val="32"/>
          <w:highlight w:val="none"/>
        </w:rPr>
        <w:t>经费</w:t>
      </w:r>
      <w:r>
        <w:rPr>
          <w:rFonts w:ascii="Times New Roman" w:hAnsi="Times New Roman" w:eastAsia="仿宋_GB2312" w:cs="Times New Roman"/>
          <w:sz w:val="32"/>
          <w:szCs w:val="32"/>
          <w:highlight w:val="none"/>
        </w:rPr>
        <w:t>支出</w:t>
      </w:r>
      <w:r>
        <w:rPr>
          <w:rFonts w:hint="eastAsia" w:ascii="Times New Roman" w:hAnsi="Times New Roman" w:eastAsia="仿宋_GB2312" w:cs="Times New Roman"/>
          <w:sz w:val="32"/>
          <w:szCs w:val="32"/>
          <w:highlight w:val="none"/>
        </w:rPr>
        <w:t>增加</w:t>
      </w:r>
      <w:r>
        <w:rPr>
          <w:rFonts w:ascii="Times New Roman" w:hAnsi="Times New Roman" w:eastAsia="仿宋_GB2312" w:cs="Times New Roman"/>
          <w:sz w:val="32"/>
          <w:szCs w:val="32"/>
          <w:highlight w:val="none"/>
        </w:rPr>
        <w:t>；项目支出</w:t>
      </w:r>
      <w:r>
        <w:rPr>
          <w:rFonts w:hint="eastAsia" w:ascii="Times New Roman" w:hAnsi="Times New Roman" w:eastAsia="仿宋_GB2312" w:cs="Times New Roman"/>
          <w:sz w:val="32"/>
          <w:szCs w:val="32"/>
          <w:highlight w:val="none"/>
          <w:lang w:eastAsia="zh-CN"/>
        </w:rPr>
        <w:t>增加</w:t>
      </w:r>
      <w:r>
        <w:rPr>
          <w:rFonts w:hint="eastAsia" w:ascii="Times New Roman" w:hAnsi="Times New Roman" w:eastAsia="仿宋_GB2312" w:cs="Times New Roman"/>
          <w:sz w:val="32"/>
          <w:szCs w:val="32"/>
          <w:highlight w:val="none"/>
          <w:lang w:val="en-US" w:eastAsia="zh-CN"/>
        </w:rPr>
        <w:t>16167.97</w:t>
      </w:r>
      <w:r>
        <w:rPr>
          <w:rFonts w:ascii="Times New Roman" w:hAnsi="Times New Roman" w:eastAsia="仿宋_GB2312" w:cs="Times New Roman"/>
          <w:sz w:val="32"/>
          <w:szCs w:val="32"/>
          <w:highlight w:val="none"/>
        </w:rPr>
        <w:t>万元，主要</w:t>
      </w:r>
      <w:r>
        <w:rPr>
          <w:rFonts w:hint="eastAsia" w:ascii="Times New Roman" w:hAnsi="Times New Roman" w:eastAsia="仿宋_GB2312" w:cs="Times New Roman"/>
          <w:sz w:val="32"/>
          <w:szCs w:val="32"/>
          <w:highlight w:val="none"/>
        </w:rPr>
        <w:t>原因是</w:t>
      </w:r>
      <w:r>
        <w:rPr>
          <w:rFonts w:hint="eastAsia" w:ascii="Times New Roman" w:hAnsi="Times New Roman" w:eastAsia="仿宋_GB2312" w:cs="Times New Roman"/>
          <w:sz w:val="32"/>
          <w:szCs w:val="32"/>
          <w:highlight w:val="none"/>
          <w:lang w:val="en-US" w:eastAsia="zh-CN"/>
        </w:rPr>
        <w:t>主动争取上级债券资金用于城市基础设施建设带动经济平稳发展。</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年，我</w:t>
      </w:r>
      <w:r>
        <w:rPr>
          <w:rFonts w:hint="eastAsia" w:ascii="Times New Roman" w:hAnsi="Times New Roman" w:eastAsia="仿宋_GB2312" w:cs="Times New Roman"/>
          <w:sz w:val="32"/>
          <w:szCs w:val="32"/>
          <w:highlight w:val="none"/>
          <w:lang w:eastAsia="zh-CN"/>
        </w:rPr>
        <w:t>委</w:t>
      </w:r>
      <w:r>
        <w:rPr>
          <w:rFonts w:ascii="Times New Roman" w:hAnsi="Times New Roman" w:eastAsia="仿宋_GB2312" w:cs="Times New Roman"/>
          <w:sz w:val="32"/>
          <w:szCs w:val="32"/>
          <w:highlight w:val="none"/>
        </w:rPr>
        <w:t>机关运行经费共计安排</w:t>
      </w:r>
      <w:r>
        <w:rPr>
          <w:rFonts w:hint="eastAsia" w:ascii="Times New Roman" w:hAnsi="Times New Roman" w:eastAsia="仿宋_GB2312" w:cs="Times New Roman"/>
          <w:sz w:val="32"/>
          <w:szCs w:val="32"/>
          <w:lang w:eastAsia="zh-CN"/>
        </w:rPr>
        <w:t>691.9</w:t>
      </w:r>
      <w:r>
        <w:rPr>
          <w:rFonts w:ascii="Times New Roman" w:hAnsi="Times New Roman" w:eastAsia="仿宋_GB2312" w:cs="Times New Roman"/>
          <w:sz w:val="32"/>
          <w:szCs w:val="32"/>
          <w:highlight w:val="none"/>
        </w:rPr>
        <w:t>万元，主要用于</w:t>
      </w:r>
      <w:r>
        <w:rPr>
          <w:rFonts w:hint="eastAsia" w:ascii="Times New Roman" w:hAnsi="Times New Roman" w:eastAsia="仿宋_GB2312" w:cs="Times New Roman"/>
          <w:sz w:val="32"/>
          <w:szCs w:val="32"/>
          <w:highlight w:val="none"/>
        </w:rPr>
        <w:t>燕郊高新技术产业开发区管理委员会的日常办公经费，以及</w:t>
      </w:r>
      <w:r>
        <w:rPr>
          <w:rFonts w:ascii="Times New Roman" w:hAnsi="Times New Roman" w:eastAsia="仿宋_GB2312" w:cs="Times New Roman"/>
          <w:sz w:val="32"/>
          <w:szCs w:val="32"/>
          <w:highlight w:val="none"/>
        </w:rPr>
        <w:t>办公区的日常维修、办公用房水电费、办公用房取暖费、办公用房物业管理费等日常运行支出。</w:t>
      </w:r>
    </w:p>
    <w:p>
      <w:p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highlight w:val="none"/>
        </w:rPr>
        <w:t>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3</w:t>
      </w:r>
      <w:r>
        <w:rPr>
          <w:rFonts w:ascii="Times New Roman" w:hAnsi="Times New Roman" w:eastAsia="仿宋_GB2312" w:cs="Times New Roman"/>
          <w:sz w:val="32"/>
          <w:szCs w:val="32"/>
          <w:highlight w:val="none"/>
        </w:rPr>
        <w:t>年，我</w:t>
      </w:r>
      <w:r>
        <w:rPr>
          <w:rFonts w:hint="eastAsia" w:ascii="Times New Roman" w:hAnsi="Times New Roman" w:eastAsia="仿宋_GB2312" w:cs="Times New Roman"/>
          <w:sz w:val="32"/>
          <w:szCs w:val="32"/>
          <w:highlight w:val="none"/>
          <w:lang w:eastAsia="zh-CN"/>
        </w:rPr>
        <w:t>委</w:t>
      </w:r>
      <w:r>
        <w:rPr>
          <w:rFonts w:ascii="Times New Roman" w:hAnsi="Times New Roman" w:eastAsia="仿宋_GB2312" w:cs="Times New Roman"/>
          <w:sz w:val="32"/>
          <w:szCs w:val="32"/>
          <w:highlight w:val="none"/>
        </w:rPr>
        <w:t>财政拨款“三公”经费预算安排</w:t>
      </w:r>
      <w:r>
        <w:rPr>
          <w:rFonts w:hint="eastAsia" w:ascii="Times New Roman" w:hAnsi="Times New Roman" w:eastAsia="仿宋_GB2312" w:cs="Times New Roman"/>
          <w:sz w:val="32"/>
          <w:szCs w:val="32"/>
          <w:highlight w:val="none"/>
        </w:rPr>
        <w:t>166.81</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其中</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因公出国（境）费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万元；公务用车购置及运维费</w:t>
      </w:r>
      <w:r>
        <w:rPr>
          <w:rFonts w:hint="eastAsia" w:ascii="Times New Roman" w:hAnsi="Times New Roman" w:eastAsia="仿宋_GB2312" w:cs="Times New Roman"/>
          <w:sz w:val="32"/>
          <w:szCs w:val="32"/>
          <w:highlight w:val="none"/>
        </w:rPr>
        <w:t>151.84</w:t>
      </w:r>
      <w:r>
        <w:rPr>
          <w:rFonts w:ascii="Times New Roman" w:hAnsi="Times New Roman" w:eastAsia="仿宋_GB2312" w:cs="Times New Roman"/>
          <w:sz w:val="32"/>
          <w:szCs w:val="32"/>
          <w:highlight w:val="none"/>
        </w:rPr>
        <w:t>万元（其中：公务用车购置费为</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w:t>
      </w:r>
      <w:r>
        <w:rPr>
          <w:rFonts w:hint="eastAsia" w:ascii="Times New Roman" w:hAnsi="Times New Roman" w:eastAsia="仿宋_GB2312" w:cs="Times New Roman"/>
          <w:sz w:val="32"/>
          <w:szCs w:val="32"/>
          <w:highlight w:val="none"/>
        </w:rPr>
        <w:t>151.84</w:t>
      </w:r>
      <w:r>
        <w:rPr>
          <w:rFonts w:ascii="Times New Roman" w:hAnsi="Times New Roman" w:eastAsia="仿宋_GB2312" w:cs="Times New Roman"/>
          <w:sz w:val="32"/>
          <w:szCs w:val="32"/>
          <w:highlight w:val="none"/>
        </w:rPr>
        <w:t>万元)；公务接待费</w:t>
      </w:r>
      <w:r>
        <w:rPr>
          <w:rFonts w:hint="eastAsia" w:ascii="Times New Roman" w:hAnsi="Times New Roman" w:eastAsia="仿宋_GB2312" w:cs="Times New Roman"/>
          <w:sz w:val="32"/>
          <w:szCs w:val="32"/>
          <w:highlight w:val="none"/>
        </w:rPr>
        <w:t>14.9</w:t>
      </w:r>
      <w:r>
        <w:rPr>
          <w:rFonts w:hint="eastAsia" w:ascii="Times New Roman" w:hAnsi="Times New Roman" w:eastAsia="仿宋_GB2312" w:cs="Times New Roman"/>
          <w:sz w:val="32"/>
          <w:szCs w:val="32"/>
          <w:highlight w:val="none"/>
          <w:lang w:val="en-US" w:eastAsia="zh-CN"/>
        </w:rPr>
        <w:t>7</w:t>
      </w:r>
      <w:r>
        <w:rPr>
          <w:rFonts w:ascii="Times New Roman" w:hAnsi="Times New Roman" w:eastAsia="仿宋_GB2312" w:cs="Times New Roman"/>
          <w:sz w:val="32"/>
          <w:szCs w:val="32"/>
          <w:highlight w:val="none"/>
        </w:rPr>
        <w:t>万元。与20</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val="en-US" w:eastAsia="zh-CN"/>
        </w:rPr>
        <w:t>2</w:t>
      </w:r>
      <w:r>
        <w:rPr>
          <w:rFonts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70.9</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70.89</w:t>
      </w:r>
      <w:r>
        <w:rPr>
          <w:rFonts w:ascii="Times New Roman" w:hAnsi="Times New Roman" w:eastAsia="仿宋_GB2312" w:cs="Times New Roman"/>
          <w:sz w:val="32"/>
          <w:szCs w:val="32"/>
          <w:highlight w:val="none"/>
        </w:rPr>
        <w:t>万元（其中：公务用车购置费</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70.89</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w:t>
      </w:r>
      <w:r>
        <w:rPr>
          <w:rFonts w:hint="eastAsia" w:ascii="Times New Roman" w:hAnsi="Times New Roman" w:eastAsia="仿宋_GB2312" w:cs="Times New Roman"/>
          <w:sz w:val="32"/>
          <w:szCs w:val="32"/>
          <w:highlight w:val="none"/>
          <w:lang w:eastAsia="zh-CN"/>
        </w:rPr>
        <w:t>委</w:t>
      </w:r>
      <w:r>
        <w:rPr>
          <w:rFonts w:hint="eastAsia" w:ascii="Times New Roman" w:hAnsi="Times New Roman" w:eastAsia="仿宋_GB2312" w:cs="Times New Roman"/>
          <w:sz w:val="32"/>
          <w:szCs w:val="32"/>
          <w:highlight w:val="none"/>
        </w:rPr>
        <w:t>切实落实勤俭节约各项规定，压减公车运行经费支出</w:t>
      </w:r>
      <w:r>
        <w:rPr>
          <w:rFonts w:ascii="Times New Roman" w:hAnsi="Times New Roman" w:eastAsia="仿宋_GB2312" w:cs="Times New Roman"/>
          <w:sz w:val="32"/>
          <w:szCs w:val="32"/>
          <w:highlight w:val="none"/>
        </w:rPr>
        <w:t>；公务接待费</w:t>
      </w:r>
      <w:r>
        <w:rPr>
          <w:rFonts w:hint="eastAsia" w:ascii="Times New Roman" w:hAnsi="Times New Roman" w:eastAsia="仿宋_GB2312" w:cs="Times New Roman"/>
          <w:sz w:val="32"/>
          <w:szCs w:val="32"/>
          <w:highlight w:val="none"/>
        </w:rPr>
        <w:t>14.9</w:t>
      </w:r>
      <w:r>
        <w:rPr>
          <w:rFonts w:hint="eastAsia" w:ascii="Times New Roman" w:hAnsi="Times New Roman" w:eastAsia="仿宋_GB2312" w:cs="Times New Roman"/>
          <w:sz w:val="32"/>
          <w:szCs w:val="32"/>
          <w:highlight w:val="none"/>
          <w:lang w:val="en-US" w:eastAsia="zh-CN"/>
        </w:rPr>
        <w:t>7</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highlight w:val="none"/>
          <w:lang w:val="en-US" w:eastAsia="zh-CN"/>
        </w:rPr>
        <w:t>0.01</w:t>
      </w:r>
      <w:r>
        <w:rPr>
          <w:rFonts w:hint="eastAsia" w:ascii="Times New Roman" w:hAnsi="Times New Roman" w:eastAsia="仿宋_GB2312" w:cs="Times New Roman"/>
          <w:sz w:val="32"/>
          <w:szCs w:val="32"/>
          <w:highlight w:val="none"/>
        </w:rPr>
        <w:t>万元，</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w:t>
      </w:r>
      <w:r>
        <w:rPr>
          <w:rFonts w:hint="eastAsia" w:ascii="Times New Roman" w:hAnsi="Times New Roman" w:eastAsia="仿宋_GB2312" w:cs="Times New Roman"/>
          <w:sz w:val="32"/>
          <w:szCs w:val="32"/>
          <w:highlight w:val="none"/>
          <w:lang w:eastAsia="zh-CN"/>
        </w:rPr>
        <w:t>委</w:t>
      </w:r>
      <w:r>
        <w:rPr>
          <w:rFonts w:hint="eastAsia" w:ascii="Times New Roman" w:hAnsi="Times New Roman" w:eastAsia="仿宋_GB2312" w:cs="Times New Roman"/>
          <w:sz w:val="32"/>
          <w:szCs w:val="32"/>
          <w:highlight w:val="none"/>
        </w:rPr>
        <w:t>切</w:t>
      </w:r>
      <w:r>
        <w:rPr>
          <w:rFonts w:hint="eastAsia" w:ascii="Times New Roman" w:hAnsi="Times New Roman" w:eastAsia="仿宋_GB2312" w:cs="Times New Roman"/>
          <w:sz w:val="32"/>
          <w:szCs w:val="32"/>
        </w:rPr>
        <w:t>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五、预算绩效信息</w:t>
      </w:r>
      <w:r>
        <w:rPr>
          <w:rFonts w:hint="eastAsia" w:ascii="仿宋_GB2312" w:eastAsia="仿宋_GB2312" w:cs="Times New Roman"/>
          <w:sz w:val="32"/>
          <w:szCs w:val="32"/>
        </w:rPr>
        <w:t>（与</w:t>
      </w:r>
      <w:r>
        <w:rPr>
          <w:rFonts w:hint="eastAsia" w:ascii="仿宋_GB2312" w:eastAsia="仿宋_GB2312" w:cs="Times New Roman"/>
          <w:sz w:val="32"/>
          <w:szCs w:val="32"/>
          <w:lang w:eastAsia="zh-CN"/>
        </w:rPr>
        <w:t>部门</w:t>
      </w:r>
      <w:r>
        <w:rPr>
          <w:rFonts w:hint="eastAsia" w:ascii="仿宋_GB2312" w:eastAsia="仿宋_GB2312" w:cs="Times New Roman"/>
          <w:sz w:val="32"/>
          <w:szCs w:val="32"/>
        </w:rPr>
        <w:t>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eastAsia="zh-CN"/>
        </w:rPr>
        <w:t>部门</w:t>
      </w:r>
      <w:r>
        <w:rPr>
          <w:rFonts w:hint="eastAsia" w:ascii="Times New Roman" w:hAnsi="Times New Roman" w:eastAsia="黑体" w:cs="Times New Roman"/>
          <w:sz w:val="32"/>
          <w:szCs w:val="32"/>
        </w:rPr>
        <w:t>整体绩效目标</w:t>
      </w:r>
    </w:p>
    <w:p>
      <w:pPr>
        <w:spacing w:line="584" w:lineRule="exact"/>
        <w:ind w:firstLine="321" w:firstLineChars="1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pageBreakBefore w:val="0"/>
        <w:widowControl w:val="0"/>
        <w:pBdr>
          <w:bottom w:val="none" w:color="auto" w:sz="0" w:space="23"/>
        </w:pBdr>
        <w:tabs>
          <w:tab w:val="left" w:pos="0"/>
        </w:tabs>
        <w:kinsoku/>
        <w:wordWrap/>
        <w:overflowPunct/>
        <w:topLinePunct w:val="0"/>
        <w:autoSpaceDE/>
        <w:autoSpaceDN/>
        <w:bidi w:val="0"/>
        <w:adjustRightInd/>
        <w:snapToGrid w:val="0"/>
        <w:spacing w:line="580" w:lineRule="exact"/>
        <w:ind w:firstLine="640" w:firstLineChars="200"/>
        <w:jc w:val="both"/>
        <w:textAlignment w:val="baseline"/>
        <w:rPr>
          <w:rFonts w:hint="eastAsia" w:ascii="仿宋_GB2312" w:eastAsia="仿宋_GB2312" w:cs="Times New Roman"/>
          <w:color w:val="000000" w:themeColor="text1"/>
          <w:sz w:val="32"/>
          <w:szCs w:val="32"/>
        </w:rPr>
      </w:pPr>
      <w:r>
        <w:rPr>
          <w:rFonts w:hint="eastAsia" w:ascii="仿宋_GB2312" w:eastAsia="仿宋_GB2312" w:cs="Times New Roman"/>
          <w:color w:val="000000" w:themeColor="text1"/>
          <w:sz w:val="32"/>
          <w:szCs w:val="32"/>
          <w:lang w:val="en-US" w:eastAsia="zh-CN"/>
        </w:rPr>
        <w:t>2023年</w:t>
      </w:r>
      <w:r>
        <w:rPr>
          <w:rFonts w:hint="eastAsia" w:ascii="仿宋_GB2312" w:eastAsia="仿宋_GB2312" w:cs="Times New Roman"/>
          <w:color w:val="000000" w:themeColor="text1"/>
          <w:sz w:val="32"/>
          <w:szCs w:val="32"/>
          <w:lang w:eastAsia="zh-CN"/>
        </w:rPr>
        <w:t>，</w:t>
      </w:r>
      <w:r>
        <w:rPr>
          <w:rFonts w:hint="eastAsia" w:ascii="仿宋_GB2312" w:eastAsia="仿宋_GB2312" w:cs="Times New Roman"/>
          <w:color w:val="000000" w:themeColor="text1"/>
          <w:sz w:val="32"/>
          <w:szCs w:val="32"/>
        </w:rPr>
        <w:t>燕郊高新区将坚持以习近平新时代中国特色社会主义思想为指导，深入学习、宣传、贯彻党的二十大精神，全面落实市委、市政府各项要求部署，以改革创新为动力，以经济发展为主题，以安全稳定为底线，创新思维理念，完善运行机制，放大改革效应，优化营商环境，努力打造高质量发展的主阵地和桥头堡，为全市经济社会发展</w:t>
      </w:r>
      <w:r>
        <w:rPr>
          <w:rFonts w:hint="eastAsia" w:ascii="仿宋_GB2312" w:eastAsia="仿宋_GB2312" w:cs="Times New Roman"/>
          <w:color w:val="000000" w:themeColor="text1"/>
          <w:sz w:val="32"/>
          <w:szCs w:val="32"/>
          <w:lang w:eastAsia="zh-CN"/>
        </w:rPr>
        <w:t>作</w:t>
      </w:r>
      <w:r>
        <w:rPr>
          <w:rFonts w:hint="eastAsia" w:ascii="仿宋_GB2312" w:eastAsia="仿宋_GB2312" w:cs="Times New Roman"/>
          <w:color w:val="000000" w:themeColor="text1"/>
          <w:sz w:val="32"/>
          <w:szCs w:val="32"/>
        </w:rPr>
        <w:t>出更大贡献。</w:t>
      </w:r>
    </w:p>
    <w:p>
      <w:pPr>
        <w:keepNext w:val="0"/>
        <w:keepLines w:val="0"/>
        <w:pageBreakBefore w:val="0"/>
        <w:widowControl w:val="0"/>
        <w:pBdr>
          <w:bottom w:val="none" w:color="auto" w:sz="0" w:space="23"/>
        </w:pBdr>
        <w:tabs>
          <w:tab w:val="left" w:pos="0"/>
        </w:tabs>
        <w:kinsoku/>
        <w:wordWrap/>
        <w:overflowPunct/>
        <w:topLinePunct w:val="0"/>
        <w:autoSpaceDE/>
        <w:autoSpaceDN/>
        <w:bidi w:val="0"/>
        <w:adjustRightInd/>
        <w:snapToGrid w:val="0"/>
        <w:spacing w:line="580" w:lineRule="exact"/>
        <w:ind w:firstLine="643" w:firstLineChars="200"/>
        <w:jc w:val="both"/>
        <w:textAlignment w:val="baseline"/>
        <w:rPr>
          <w:rFonts w:hint="eastAsia" w:ascii="仿宋_GB2312" w:hAnsi="仿宋_GB2312" w:eastAsia="仿宋_GB2312" w:cs="仿宋_GB2312"/>
          <w:color w:val="auto"/>
          <w:spacing w:val="0"/>
          <w:sz w:val="32"/>
          <w:szCs w:val="32"/>
        </w:rPr>
      </w:pPr>
      <w:r>
        <w:rPr>
          <w:rFonts w:hint="eastAsia" w:ascii="楷体_GB2312" w:hAnsi="楷体_GB2312" w:eastAsia="楷体_GB2312" w:cs="楷体_GB2312"/>
          <w:b/>
          <w:bCs/>
          <w:color w:val="000000" w:themeColor="text1"/>
          <w:spacing w:val="0"/>
          <w:sz w:val="32"/>
          <w:szCs w:val="32"/>
          <w:lang w:val="en-US" w:eastAsia="zh-CN"/>
        </w:rPr>
        <w:t>----发挥区位优势，抢抓用好协同发展机遇。</w:t>
      </w:r>
      <w:r>
        <w:rPr>
          <w:rFonts w:hint="eastAsia" w:ascii="仿宋_GB2312" w:hAnsi="仿宋_GB2312" w:eastAsia="仿宋_GB2312" w:cs="仿宋_GB2312"/>
          <w:color w:val="auto"/>
          <w:spacing w:val="0"/>
          <w:sz w:val="32"/>
          <w:szCs w:val="32"/>
        </w:rPr>
        <w:t>一是坚持规划引领。按照三河市国土空间规划要求，结合燕郊实际，对标对表北京市规划标准，对燕郊组团控规单元继续开展深化，统筹推进燕郊组团规划实施，以高水平规划引领高质量发展。二是加快</w:t>
      </w:r>
      <w:r>
        <w:rPr>
          <w:rFonts w:hint="eastAsia" w:ascii="仿宋_GB2312" w:hAnsi="仿宋_GB2312" w:eastAsia="仿宋_GB2312" w:cs="仿宋_GB2312"/>
          <w:color w:val="auto"/>
          <w:spacing w:val="0"/>
          <w:sz w:val="32"/>
          <w:szCs w:val="32"/>
          <w:lang w:val="en-US" w:eastAsia="zh-CN"/>
        </w:rPr>
        <w:t>城市功能区</w:t>
      </w:r>
      <w:r>
        <w:rPr>
          <w:rFonts w:hint="eastAsia" w:ascii="仿宋_GB2312" w:hAnsi="仿宋_GB2312" w:eastAsia="仿宋_GB2312" w:cs="仿宋_GB2312"/>
          <w:color w:val="auto"/>
          <w:spacing w:val="0"/>
          <w:sz w:val="32"/>
          <w:szCs w:val="32"/>
        </w:rPr>
        <w:t>建设。全力推进平谷线站点建设，加力实施潮白、神威片区开发建设，突出用地混合、功能复合以及空间缝合理念，打造融汇多功能多场景的创新宜居宜业城区。三是加强产业对接。扭住非首都功能疏解这个牛鼻子，重点围绕燕郊科学城建设推进孤山片区开发，</w:t>
      </w:r>
      <w:r>
        <w:rPr>
          <w:rFonts w:hint="eastAsia" w:ascii="仿宋_GB2312" w:hAnsi="仿宋_GB2312" w:eastAsia="仿宋_GB2312" w:cs="仿宋_GB2312"/>
          <w:color w:val="auto"/>
          <w:spacing w:val="0"/>
          <w:sz w:val="32"/>
          <w:szCs w:val="32"/>
          <w:lang w:val="en-US" w:eastAsia="zh-CN"/>
        </w:rPr>
        <w:t>增加产业发展用地，积极</w:t>
      </w:r>
      <w:r>
        <w:rPr>
          <w:rFonts w:hint="eastAsia" w:ascii="仿宋_GB2312" w:hAnsi="仿宋_GB2312" w:eastAsia="仿宋_GB2312" w:cs="仿宋_GB2312"/>
          <w:color w:val="auto"/>
          <w:spacing w:val="0"/>
          <w:sz w:val="32"/>
          <w:szCs w:val="32"/>
          <w:lang w:eastAsia="zh-CN"/>
        </w:rPr>
        <w:t>推进“</w:t>
      </w:r>
      <w:r>
        <w:rPr>
          <w:rFonts w:hint="eastAsia" w:ascii="仿宋_GB2312" w:hAnsi="仿宋_GB2312" w:eastAsia="仿宋_GB2312" w:cs="仿宋_GB2312"/>
          <w:color w:val="auto"/>
          <w:spacing w:val="0"/>
          <w:sz w:val="32"/>
          <w:szCs w:val="32"/>
        </w:rPr>
        <w:t>京津冀国家技术创新中心燕郊中心</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等一批大项目、好项目在燕郊科学城落地</w:t>
      </w:r>
      <w:r>
        <w:rPr>
          <w:rFonts w:hint="eastAsia" w:ascii="仿宋_GB2312" w:hAnsi="仿宋_GB2312" w:eastAsia="仿宋_GB2312" w:cs="仿宋_GB2312"/>
          <w:color w:val="auto"/>
          <w:spacing w:val="0"/>
          <w:sz w:val="32"/>
          <w:szCs w:val="32"/>
        </w:rPr>
        <w:t>开工。</w:t>
      </w:r>
    </w:p>
    <w:p>
      <w:pPr>
        <w:keepNext w:val="0"/>
        <w:keepLines w:val="0"/>
        <w:pageBreakBefore w:val="0"/>
        <w:widowControl w:val="0"/>
        <w:pBdr>
          <w:bottom w:val="none" w:color="auto" w:sz="0" w:space="23"/>
        </w:pBdr>
        <w:tabs>
          <w:tab w:val="left" w:pos="0"/>
        </w:tabs>
        <w:kinsoku/>
        <w:wordWrap/>
        <w:overflowPunct/>
        <w:topLinePunct w:val="0"/>
        <w:autoSpaceDE/>
        <w:autoSpaceDN/>
        <w:bidi w:val="0"/>
        <w:adjustRightInd/>
        <w:snapToGrid w:val="0"/>
        <w:spacing w:line="580" w:lineRule="exact"/>
        <w:ind w:firstLine="643" w:firstLineChars="200"/>
        <w:jc w:val="both"/>
        <w:textAlignment w:val="baseline"/>
        <w:rPr>
          <w:rFonts w:hint="default" w:ascii="仿宋_GB2312" w:hAnsi="仿宋_GB2312" w:eastAsia="仿宋_GB2312" w:cs="仿宋_GB2312"/>
          <w:snapToGrid w:val="0"/>
          <w:kern w:val="0"/>
          <w:sz w:val="32"/>
          <w:szCs w:val="32"/>
          <w:lang w:val="en-US" w:eastAsia="zh-CN"/>
        </w:rPr>
      </w:pPr>
      <w:r>
        <w:rPr>
          <w:rFonts w:hint="eastAsia" w:ascii="楷体" w:hAnsi="楷体" w:eastAsia="楷体" w:cs="楷体"/>
          <w:b/>
          <w:bCs/>
          <w:snapToGrid w:val="0"/>
          <w:kern w:val="0"/>
          <w:sz w:val="32"/>
          <w:szCs w:val="32"/>
          <w:lang w:val="en-US" w:eastAsia="zh-CN"/>
        </w:rPr>
        <w:t>----紧盯项目建设，做大做强经济发展新引擎。</w:t>
      </w:r>
      <w:r>
        <w:rPr>
          <w:rFonts w:hint="eastAsia" w:ascii="仿宋_GB2312" w:hAnsi="仿宋_GB2312" w:eastAsia="仿宋_GB2312" w:cs="仿宋_GB2312"/>
          <w:snapToGrid w:val="0"/>
          <w:kern w:val="0"/>
          <w:sz w:val="32"/>
          <w:szCs w:val="32"/>
          <w:lang w:val="en-US" w:eastAsia="zh-CN"/>
        </w:rPr>
        <w:t>一是加大招商引资力度。坚持走出去、引进来，主动对接国家部委、央企京企、园区院所，全力开展“靶向招商”，每季度至少举办一次推介活动，确保完成上级下达的年度招商引资任务目标，力争引进一批具有“立区效应”的重大项目。二是全力推进项目建设。定期调度、跟踪服务、台账管理，突出抓落地、抓建设、抓投产达效，确保长盈通光器件及光模块系统等14个项目开工建设，全力推动星谊银河二号供应链基地等8个项目竣工投产。三是建设高水平科创园。发挥科创园土地利用更集约、亩均效益更高、产业更专更精的优势，强化23个园区综合考评和政策激励，推动潮白河云谷、中南高科等科创园建成投用，力促50家以上科技企业入园兴业。</w:t>
      </w:r>
    </w:p>
    <w:p>
      <w:pPr>
        <w:keepNext w:val="0"/>
        <w:keepLines w:val="0"/>
        <w:pageBreakBefore w:val="0"/>
        <w:widowControl w:val="0"/>
        <w:pBdr>
          <w:bottom w:val="none" w:color="auto" w:sz="0" w:space="23"/>
        </w:pBdr>
        <w:tabs>
          <w:tab w:val="left" w:pos="0"/>
        </w:tabs>
        <w:kinsoku/>
        <w:wordWrap/>
        <w:overflowPunct/>
        <w:topLinePunct w:val="0"/>
        <w:autoSpaceDE/>
        <w:autoSpaceDN/>
        <w:bidi w:val="0"/>
        <w:adjustRightInd/>
        <w:snapToGrid w:val="0"/>
        <w:spacing w:line="580" w:lineRule="exact"/>
        <w:ind w:firstLine="643" w:firstLineChars="200"/>
        <w:jc w:val="both"/>
        <w:textAlignment w:val="baseline"/>
        <w:rPr>
          <w:rFonts w:hint="eastAsia" w:ascii="仿宋_GB2312" w:hAnsi="仿宋_GB2312" w:eastAsia="仿宋_GB2312" w:cs="仿宋_GB2312"/>
          <w:snapToGrid w:val="0"/>
          <w:kern w:val="0"/>
          <w:sz w:val="32"/>
          <w:szCs w:val="32"/>
          <w:lang w:val="en-US" w:eastAsia="zh-CN"/>
        </w:rPr>
      </w:pPr>
      <w:r>
        <w:rPr>
          <w:rFonts w:hint="eastAsia" w:ascii="楷体_GB2312" w:hAnsi="楷体_GB2312" w:eastAsia="楷体_GB2312" w:cs="楷体_GB2312"/>
          <w:b/>
          <w:bCs/>
          <w:color w:val="000000" w:themeColor="text1"/>
          <w:spacing w:val="0"/>
          <w:sz w:val="32"/>
          <w:szCs w:val="32"/>
          <w:lang w:val="en-US" w:eastAsia="zh-CN"/>
        </w:rPr>
        <w:t>----聚焦科技创新，增强园区核心竞争力。</w:t>
      </w:r>
      <w:r>
        <w:rPr>
          <w:rFonts w:hint="eastAsia" w:ascii="仿宋_GB2312" w:hAnsi="仿宋_GB2312" w:eastAsia="仿宋_GB2312" w:cs="仿宋_GB2312"/>
          <w:snapToGrid w:val="0"/>
          <w:kern w:val="0"/>
          <w:sz w:val="32"/>
          <w:szCs w:val="32"/>
          <w:lang w:val="en-US" w:eastAsia="zh-CN"/>
        </w:rPr>
        <w:t>一是力争进位争先。强化与上级主管部门的沟通对接，确保完成上级考核的经济指标和科技指标，确保考核排名逐年上升。二是优化产业结构。聚焦光纤惯导、新材料、数字经济等产业，精准延链补链强链，重点打造新一代信息技术和高端装备制造两个特色产业集群。三是培育创新主体。启动公共技术创新服务平台，加强首都科技资源导入，引入企业诊断、检验检测、知识产权、高企申报、成果交易等服务机构，为科技企业发展提供助力。力争新增省级科技型中小企业30家、国家级科技型中小企业8家、高新技术企业15家、“专精特新”企业8家、瞪羚企业10家。四是加强政策扶持。用足用好《燕郊高新区关于加快建设创新型园区的政策意见》《科技产业发展专项资金管理暂行办法》等政策，与各级政策形成错位支持、领域互补，实现投资额增长20%以上，营业收入增长10%以上。</w:t>
      </w:r>
    </w:p>
    <w:p>
      <w:pPr>
        <w:keepNext w:val="0"/>
        <w:keepLines w:val="0"/>
        <w:pageBreakBefore w:val="0"/>
        <w:widowControl w:val="0"/>
        <w:pBdr>
          <w:bottom w:val="none" w:color="auto" w:sz="0" w:space="23"/>
        </w:pBdr>
        <w:tabs>
          <w:tab w:val="left" w:pos="0"/>
        </w:tabs>
        <w:kinsoku/>
        <w:wordWrap/>
        <w:overflowPunct/>
        <w:topLinePunct w:val="0"/>
        <w:autoSpaceDE/>
        <w:autoSpaceDN/>
        <w:bidi w:val="0"/>
        <w:adjustRightInd/>
        <w:snapToGrid w:val="0"/>
        <w:spacing w:line="580" w:lineRule="exact"/>
        <w:ind w:firstLine="643" w:firstLineChars="200"/>
        <w:jc w:val="both"/>
        <w:textAlignment w:val="baseline"/>
        <w:rPr>
          <w:rFonts w:hint="eastAsia" w:ascii="仿宋_GB2312" w:hAnsi="仿宋_GB2312" w:eastAsia="仿宋_GB2312" w:cs="仿宋_GB2312"/>
          <w:b w:val="0"/>
          <w:bCs w:val="0"/>
          <w:color w:val="000000"/>
          <w:spacing w:val="0"/>
          <w:sz w:val="32"/>
          <w:szCs w:val="32"/>
          <w:lang w:val="en-US" w:eastAsia="zh-CN"/>
        </w:rPr>
      </w:pPr>
      <w:r>
        <w:rPr>
          <w:rFonts w:hint="eastAsia" w:ascii="楷体_GB2312" w:hAnsi="楷体_GB2312" w:eastAsia="楷体_GB2312" w:cs="楷体_GB2312"/>
          <w:b/>
          <w:bCs/>
          <w:color w:val="000000" w:themeColor="text1"/>
          <w:spacing w:val="0"/>
          <w:sz w:val="32"/>
          <w:szCs w:val="32"/>
          <w:lang w:val="en-US" w:eastAsia="zh-CN"/>
        </w:rPr>
        <w:t>----完善基础设施，持续提升城市承载力。</w:t>
      </w:r>
      <w:r>
        <w:rPr>
          <w:rFonts w:hint="eastAsia" w:ascii="仿宋_GB2312" w:hAnsi="仿宋_GB2312" w:eastAsia="仿宋_GB2312" w:cs="仿宋_GB2312"/>
          <w:b w:val="0"/>
          <w:bCs w:val="0"/>
          <w:color w:val="000000"/>
          <w:spacing w:val="0"/>
          <w:sz w:val="32"/>
          <w:szCs w:val="32"/>
          <w:lang w:val="en-US" w:eastAsia="zh-CN"/>
        </w:rPr>
        <w:t>一是全力争取上级资金。</w:t>
      </w:r>
      <w:r>
        <w:rPr>
          <w:rFonts w:hint="eastAsia" w:ascii="仿宋_GB2312" w:hAnsi="宋体" w:eastAsia="仿宋_GB2312"/>
          <w:sz w:val="32"/>
          <w:szCs w:val="32"/>
          <w:lang w:val="en-US" w:eastAsia="zh-CN"/>
        </w:rPr>
        <w:t>抢抓年内中央扩大基础设施投资、拉动经济增长的机遇，在2022年底已申报地方政府债券项目的基础上，争取再挖掘一批</w:t>
      </w:r>
      <w:r>
        <w:rPr>
          <w:rFonts w:hint="eastAsia" w:ascii="仿宋_GB2312" w:hAnsi="宋体" w:eastAsia="仿宋_GB2312"/>
          <w:sz w:val="32"/>
          <w:szCs w:val="32"/>
        </w:rPr>
        <w:t>符合条件的项目及时录入项目库</w:t>
      </w:r>
      <w:r>
        <w:rPr>
          <w:rFonts w:hint="eastAsia" w:ascii="仿宋_GB2312" w:hAnsi="宋体" w:eastAsia="仿宋_GB2312"/>
          <w:sz w:val="32"/>
          <w:szCs w:val="32"/>
          <w:lang w:eastAsia="zh-CN"/>
        </w:rPr>
        <w:t>。</w:t>
      </w:r>
      <w:r>
        <w:rPr>
          <w:rFonts w:hint="eastAsia" w:ascii="仿宋_GB2312" w:hAnsi="宋体" w:eastAsia="仿宋_GB2312"/>
          <w:sz w:val="32"/>
          <w:szCs w:val="32"/>
        </w:rPr>
        <w:t>委托专业机构对项目的前期手续进行完善，使入库项目尽量符合上级资金支持的各项条件</w:t>
      </w:r>
      <w:r>
        <w:rPr>
          <w:rFonts w:hint="eastAsia" w:ascii="仿宋_GB2312" w:hAnsi="宋体" w:eastAsia="仿宋_GB2312"/>
          <w:sz w:val="32"/>
          <w:szCs w:val="32"/>
          <w:lang w:eastAsia="zh-CN"/>
        </w:rPr>
        <w:t>。</w:t>
      </w:r>
      <w:r>
        <w:rPr>
          <w:rFonts w:hint="eastAsia" w:ascii="仿宋_GB2312" w:hAnsi="仿宋_GB2312" w:eastAsia="仿宋_GB2312" w:cs="仿宋_GB2312"/>
          <w:b w:val="0"/>
          <w:bCs w:val="0"/>
          <w:color w:val="000000"/>
          <w:spacing w:val="0"/>
          <w:sz w:val="32"/>
          <w:szCs w:val="32"/>
          <w:lang w:val="en-US" w:eastAsia="zh-CN"/>
        </w:rPr>
        <w:t>二是全力加快工程进度。实施汉王路北延至神威北大街（打通断头路）、燕高北路、燕郊西污水处理厂三期扩建等基础设施工程49项、总投资41.19亿元（含22项跑办前期项目、总投资24.01亿元）。推进海绵城市PPP项目二期第二批次工程建设，主要包括海油大街-北蔡街、学院大街西段、102国道西段、福成路北段、燕高路、燕昌路、燕顺路雨水管道新建工程以及现状管网清淤检测修复工程，解决城市内涝，实现雨污分流。</w:t>
      </w:r>
    </w:p>
    <w:p>
      <w:pPr>
        <w:keepNext w:val="0"/>
        <w:keepLines w:val="0"/>
        <w:pageBreakBefore w:val="0"/>
        <w:widowControl w:val="0"/>
        <w:pBdr>
          <w:bottom w:val="none" w:color="auto" w:sz="0" w:space="23"/>
        </w:pBdr>
        <w:tabs>
          <w:tab w:val="left" w:pos="0"/>
        </w:tabs>
        <w:kinsoku/>
        <w:wordWrap/>
        <w:overflowPunct/>
        <w:topLinePunct w:val="0"/>
        <w:autoSpaceDE/>
        <w:autoSpaceDN/>
        <w:bidi w:val="0"/>
        <w:adjustRightInd/>
        <w:snapToGrid w:val="0"/>
        <w:spacing w:line="580" w:lineRule="exact"/>
        <w:ind w:firstLine="619" w:firstLineChars="200"/>
        <w:jc w:val="both"/>
        <w:textAlignment w:val="baseline"/>
        <w:rPr>
          <w:rFonts w:hint="eastAsia" w:ascii="仿宋_GB2312" w:hAnsi="楷体_GB2312" w:eastAsia="仿宋_GB2312" w:cs="楷体_GB2312"/>
          <w:spacing w:val="-6"/>
          <w:sz w:val="32"/>
          <w:szCs w:val="32"/>
          <w:lang w:val="en-US" w:eastAsia="zh-CN"/>
        </w:rPr>
      </w:pPr>
      <w:r>
        <w:rPr>
          <w:rFonts w:hint="eastAsia" w:ascii="楷体_GB2312" w:hAnsi="楷体_GB2312" w:eastAsia="楷体_GB2312" w:cs="楷体_GB2312"/>
          <w:b/>
          <w:bCs/>
          <w:color w:val="000000" w:themeColor="text1"/>
          <w:spacing w:val="-6"/>
          <w:sz w:val="32"/>
          <w:szCs w:val="32"/>
          <w:lang w:val="en-US" w:eastAsia="zh-CN"/>
        </w:rPr>
        <w:t>----提升服务效能，全面优化营商环境。</w:t>
      </w:r>
      <w:r>
        <w:rPr>
          <w:rFonts w:hint="eastAsia" w:ascii="仿宋_GB2312" w:hAnsi="楷体_GB2312" w:eastAsia="仿宋_GB2312" w:cs="楷体_GB2312"/>
          <w:spacing w:val="-6"/>
          <w:sz w:val="32"/>
          <w:szCs w:val="32"/>
          <w:lang w:val="en-US" w:eastAsia="zh-CN"/>
        </w:rPr>
        <w:t>一是推动作风务实高效。深入贯彻省、市优化营商环境部署要求，靶向服务、靠前服务、全程服务，除官气、除懒根，当好“店小二”、当好“跑堂儿人”，打造政策优、成本低、办事快的好环境。二是推动服务提质增效。全面应用模拟审批代办和区域评估，实现新供地项目“拿地即开工”。完善重点企业包联制度，破解企业生产经营难题，推动民营经济“二次创业”。开展送政策上门活动，全面落实各项惠企政策，打造更具特色和竞争力的政策高地。三是推动管理精细长效。打造志愿者之城，坚持建管并重，加强网格化、信息化、常态化、精细化城市管理，提档升级城市环境、形象、品位。</w:t>
      </w:r>
    </w:p>
    <w:p>
      <w:pPr>
        <w:keepNext w:val="0"/>
        <w:keepLines w:val="0"/>
        <w:pageBreakBefore w:val="0"/>
        <w:widowControl w:val="0"/>
        <w:pBdr>
          <w:bottom w:val="none" w:color="auto" w:sz="0" w:space="23"/>
        </w:pBdr>
        <w:tabs>
          <w:tab w:val="left" w:pos="0"/>
        </w:tabs>
        <w:kinsoku/>
        <w:wordWrap/>
        <w:overflowPunct/>
        <w:topLinePunct w:val="0"/>
        <w:autoSpaceDE/>
        <w:autoSpaceDN/>
        <w:bidi w:val="0"/>
        <w:adjustRightInd/>
        <w:snapToGrid w:val="0"/>
        <w:spacing w:line="580" w:lineRule="exact"/>
        <w:ind w:firstLine="619" w:firstLineChars="200"/>
        <w:jc w:val="both"/>
        <w:textAlignment w:val="baseline"/>
        <w:rPr>
          <w:rFonts w:hint="eastAsia" w:ascii="仿宋_GB2312" w:hAnsi="楷体_GB2312" w:eastAsia="仿宋_GB2312" w:cs="楷体_GB2312"/>
          <w:spacing w:val="-6"/>
          <w:sz w:val="32"/>
          <w:szCs w:val="32"/>
          <w:lang w:val="en-US" w:eastAsia="zh-CN"/>
        </w:rPr>
      </w:pPr>
      <w:r>
        <w:rPr>
          <w:rFonts w:hint="eastAsia" w:ascii="楷体_GB2312" w:hAnsi="楷体_GB2312" w:eastAsia="楷体_GB2312" w:cs="楷体_GB2312"/>
          <w:b/>
          <w:bCs/>
          <w:color w:val="000000" w:themeColor="text1"/>
          <w:spacing w:val="-6"/>
          <w:sz w:val="32"/>
          <w:szCs w:val="32"/>
          <w:lang w:val="en-US" w:eastAsia="zh-CN"/>
        </w:rPr>
        <w:t>----推进社会治理，营造和谐稳定发展环境。</w:t>
      </w:r>
      <w:r>
        <w:rPr>
          <w:rFonts w:hint="eastAsia" w:ascii="仿宋_GB2312" w:hAnsi="楷体_GB2312" w:eastAsia="仿宋_GB2312" w:cs="楷体_GB2312"/>
          <w:spacing w:val="-6"/>
          <w:sz w:val="32"/>
          <w:szCs w:val="32"/>
          <w:lang w:val="en-US" w:eastAsia="zh-CN"/>
        </w:rPr>
        <w:t>一是抓牢安全生产。严格落实党政同责、一岗双责，强化部门监管，压实企业主体责任，加大燃气、消防、危化品等各领域安全隐患排查整改力度，坚决防范遏制安全事故发生。二是抓牢信访稳定。强化领导包联，突出矛盾化解，坚持依法治访，做好矛盾隐患排查，全力推进历史遗留问题解决，确保社会和谐稳定。三是抓牢生态环保。强化大气污染防治，抓好建筑工地扬尘管控，坚决打赢蓝天保卫战。严格落实河长制，持续推进潮白河、尹家沟和幸福渠河道生态治理，加强对3座污水处理厂运行监管，不断增添城市灵气。</w:t>
      </w:r>
    </w:p>
    <w:p>
      <w:pPr>
        <w:keepNext w:val="0"/>
        <w:keepLines w:val="0"/>
        <w:pageBreakBefore w:val="0"/>
        <w:widowControl w:val="0"/>
        <w:kinsoku/>
        <w:wordWrap/>
        <w:overflowPunct/>
        <w:topLinePunct w:val="0"/>
        <w:autoSpaceDE/>
        <w:autoSpaceDN/>
        <w:bidi w:val="0"/>
        <w:adjustRightInd/>
        <w:snapToGrid/>
        <w:spacing w:line="240" w:lineRule="auto"/>
        <w:ind w:firstLine="321" w:firstLineChars="1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0"/>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kern w:val="2"/>
          <w:sz w:val="32"/>
          <w:szCs w:val="32"/>
          <w:highlight w:val="none"/>
          <w:lang w:val="en-US" w:eastAsia="zh-CN" w:bidi="ar-SA"/>
        </w:rPr>
      </w:pPr>
      <w:r>
        <w:rPr>
          <w:rFonts w:hint="eastAsia" w:eastAsia="仿宋_GB2312" w:cs="Times New Roman"/>
          <w:kern w:val="2"/>
          <w:sz w:val="32"/>
          <w:szCs w:val="32"/>
          <w:highlight w:val="none"/>
          <w:lang w:val="en-US" w:eastAsia="zh-CN" w:bidi="ar-SA"/>
        </w:rPr>
        <w:t>1</w:t>
      </w:r>
      <w:r>
        <w:rPr>
          <w:rFonts w:ascii="Times New Roman" w:hAnsi="Times New Roman" w:eastAsia="仿宋_GB2312" w:cs="Times New Roman"/>
          <w:kern w:val="2"/>
          <w:sz w:val="32"/>
          <w:szCs w:val="32"/>
          <w:highlight w:val="none"/>
          <w:lang w:val="en-US" w:eastAsia="zh-CN" w:bidi="ar-SA"/>
        </w:rPr>
        <w:t>、辖区工程基础设施运行提升</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绩效目标：科学系统的开展实现工程完工等战略，保障验收工程量的实现。并提升完成工程量完成率，实现基础设施建成后的利用、使用情况 。</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绩效指标：工程量完成率作为绩效考评的重要依据，在统计中实际完成工程量占计划完成工程量的比率高达100%，受益群体调查中，满意和较满意的人数占全部调查人数的比率为95%。</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hint="eastAsia" w:eastAsia="仿宋_GB2312" w:cs="Times New Roman"/>
          <w:kern w:val="2"/>
          <w:sz w:val="32"/>
          <w:szCs w:val="32"/>
          <w:highlight w:val="none"/>
          <w:lang w:val="en-US" w:eastAsia="zh-CN" w:bidi="ar-SA"/>
        </w:rPr>
        <w:t>2</w:t>
      </w:r>
      <w:r>
        <w:rPr>
          <w:rFonts w:ascii="Times New Roman" w:hAnsi="Times New Roman" w:eastAsia="仿宋_GB2312" w:cs="Times New Roman"/>
          <w:kern w:val="2"/>
          <w:sz w:val="32"/>
          <w:szCs w:val="32"/>
          <w:highlight w:val="none"/>
          <w:lang w:val="en-US" w:eastAsia="zh-CN" w:bidi="ar-SA"/>
        </w:rPr>
        <w:t>、招商引资服务能力得以提升</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绩效目标：营造便捷、高效良好的营商环境，招商政策日趋完善，项目水平显著提高，顺利完成市政府制定的招商工作计划。</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绩效指标：宣传推介开发区投资环境，争取更多的客商来区考察洽谈引进优质项目，提高招商人员整体素质和业务水平，全年接待客商服务满意率达到90%以上。</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hint="eastAsia" w:eastAsia="仿宋_GB2312" w:cs="Times New Roman"/>
          <w:kern w:val="2"/>
          <w:sz w:val="32"/>
          <w:szCs w:val="32"/>
          <w:highlight w:val="none"/>
          <w:lang w:val="en-US" w:eastAsia="zh-CN" w:bidi="ar-SA"/>
        </w:rPr>
        <w:t>3</w:t>
      </w:r>
      <w:r>
        <w:rPr>
          <w:rFonts w:ascii="Times New Roman" w:hAnsi="Times New Roman" w:eastAsia="仿宋_GB2312" w:cs="Times New Roman"/>
          <w:kern w:val="2"/>
          <w:sz w:val="32"/>
          <w:szCs w:val="32"/>
          <w:highlight w:val="none"/>
          <w:lang w:val="en-US" w:eastAsia="zh-CN" w:bidi="ar-SA"/>
        </w:rPr>
        <w:t>、人才引进与管理的能力进一步增强</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绩效目标：通过组织企业招聘，改善全区人员就业和企业招工问题。坚持公平公正公开，坚持全面考核，德艺双馨，保证质量。</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绩效指标：202</w:t>
      </w:r>
      <w:r>
        <w:rPr>
          <w:rFonts w:hint="eastAsia" w:eastAsia="仿宋_GB2312" w:cs="Times New Roman"/>
          <w:kern w:val="2"/>
          <w:sz w:val="32"/>
          <w:szCs w:val="32"/>
          <w:highlight w:val="none"/>
          <w:lang w:val="en-US" w:eastAsia="zh-CN" w:bidi="ar-SA"/>
        </w:rPr>
        <w:t>3</w:t>
      </w:r>
      <w:r>
        <w:rPr>
          <w:rFonts w:ascii="Times New Roman" w:hAnsi="Times New Roman" w:eastAsia="仿宋_GB2312" w:cs="Times New Roman"/>
          <w:kern w:val="2"/>
          <w:sz w:val="32"/>
          <w:szCs w:val="32"/>
          <w:highlight w:val="none"/>
          <w:lang w:val="en-US" w:eastAsia="zh-CN" w:bidi="ar-SA"/>
        </w:rPr>
        <w:t>年组织各类招聘会40场发布就业岗位5000个，组织参会企业15000家。通过招聘会的举办改善企业招工困难问题。对求职人员调查中满意占调查总人数的比率进行电话回访，满意度高达95%以上。</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hint="eastAsia" w:eastAsia="仿宋_GB2312" w:cs="Times New Roman"/>
          <w:kern w:val="2"/>
          <w:sz w:val="32"/>
          <w:szCs w:val="32"/>
          <w:highlight w:val="none"/>
          <w:lang w:val="en-US" w:eastAsia="zh-CN" w:bidi="ar-SA"/>
        </w:rPr>
        <w:t>4</w:t>
      </w:r>
      <w:r>
        <w:rPr>
          <w:rFonts w:ascii="Times New Roman" w:hAnsi="Times New Roman" w:eastAsia="仿宋_GB2312" w:cs="Times New Roman"/>
          <w:kern w:val="2"/>
          <w:sz w:val="32"/>
          <w:szCs w:val="32"/>
          <w:highlight w:val="none"/>
          <w:lang w:val="en-US" w:eastAsia="zh-CN" w:bidi="ar-SA"/>
        </w:rPr>
        <w:t>、安全生产宣传进一步完善</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目标：通过项目的开展，推动企业严格贯彻安全生产法律法规，企业主体责任得到有效落实、企业本质安全水平得到显著提高，提高干部队伍素质，提高业务水平,有效防范风险隐患，为维护人民群众生命财产安全和助力经济发展提供坚强保障。通过项目的开展提高安全管理水平，防风险、除隐患遏事故，营造安全环境。</w:t>
      </w:r>
    </w:p>
    <w:p>
      <w:pPr>
        <w:pStyle w:val="20"/>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仿宋_GB2312" w:cs="Times New Roman"/>
          <w:kern w:val="2"/>
          <w:sz w:val="32"/>
          <w:szCs w:val="32"/>
          <w:highlight w:val="none"/>
          <w:lang w:val="en-US" w:eastAsia="zh-CN" w:bidi="ar-SA"/>
        </w:rPr>
      </w:pPr>
      <w:r>
        <w:rPr>
          <w:rFonts w:ascii="Times New Roman" w:hAnsi="Times New Roman" w:eastAsia="仿宋_GB2312" w:cs="Times New Roman"/>
          <w:kern w:val="2"/>
          <w:sz w:val="32"/>
          <w:szCs w:val="32"/>
          <w:highlight w:val="none"/>
          <w:lang w:val="en-US" w:eastAsia="zh-CN" w:bidi="ar-SA"/>
        </w:rPr>
        <w:t>绩效指标：本年实际执法检查的生产经营</w:t>
      </w:r>
      <w:r>
        <w:rPr>
          <w:rFonts w:hint="eastAsia" w:eastAsia="仿宋_GB2312" w:cs="Times New Roman"/>
          <w:kern w:val="2"/>
          <w:sz w:val="32"/>
          <w:szCs w:val="32"/>
          <w:highlight w:val="none"/>
          <w:lang w:val="en-US" w:eastAsia="zh-CN" w:bidi="ar-SA"/>
        </w:rPr>
        <w:t>部门</w:t>
      </w:r>
      <w:r>
        <w:rPr>
          <w:rFonts w:ascii="Times New Roman" w:hAnsi="Times New Roman" w:eastAsia="仿宋_GB2312" w:cs="Times New Roman"/>
          <w:kern w:val="2"/>
          <w:sz w:val="32"/>
          <w:szCs w:val="32"/>
          <w:highlight w:val="none"/>
          <w:lang w:val="en-US" w:eastAsia="zh-CN" w:bidi="ar-SA"/>
        </w:rPr>
        <w:t>数占应检查</w:t>
      </w:r>
      <w:r>
        <w:rPr>
          <w:rFonts w:hint="eastAsia" w:eastAsia="仿宋_GB2312" w:cs="Times New Roman"/>
          <w:kern w:val="2"/>
          <w:sz w:val="32"/>
          <w:szCs w:val="32"/>
          <w:highlight w:val="none"/>
          <w:lang w:val="en-US" w:eastAsia="zh-CN" w:bidi="ar-SA"/>
        </w:rPr>
        <w:t>部门</w:t>
      </w:r>
      <w:r>
        <w:rPr>
          <w:rFonts w:ascii="Times New Roman" w:hAnsi="Times New Roman" w:eastAsia="仿宋_GB2312" w:cs="Times New Roman"/>
          <w:kern w:val="2"/>
          <w:sz w:val="32"/>
          <w:szCs w:val="32"/>
          <w:highlight w:val="none"/>
          <w:lang w:val="en-US" w:eastAsia="zh-CN" w:bidi="ar-SA"/>
        </w:rPr>
        <w:t>总数的比率为百分之百，实际完成风险识别的生产经营</w:t>
      </w:r>
      <w:r>
        <w:rPr>
          <w:rFonts w:hint="eastAsia" w:eastAsia="仿宋_GB2312" w:cs="Times New Roman"/>
          <w:kern w:val="2"/>
          <w:sz w:val="32"/>
          <w:szCs w:val="32"/>
          <w:highlight w:val="none"/>
          <w:lang w:val="en-US" w:eastAsia="zh-CN" w:bidi="ar-SA"/>
        </w:rPr>
        <w:t>部门</w:t>
      </w:r>
      <w:r>
        <w:rPr>
          <w:rFonts w:ascii="Times New Roman" w:hAnsi="Times New Roman" w:eastAsia="仿宋_GB2312" w:cs="Times New Roman"/>
          <w:kern w:val="2"/>
          <w:sz w:val="32"/>
          <w:szCs w:val="32"/>
          <w:highlight w:val="none"/>
          <w:lang w:val="en-US" w:eastAsia="zh-CN" w:bidi="ar-SA"/>
        </w:rPr>
        <w:t>数占应开展风险辨识经营</w:t>
      </w:r>
      <w:r>
        <w:rPr>
          <w:rFonts w:hint="eastAsia" w:eastAsia="仿宋_GB2312" w:cs="Times New Roman"/>
          <w:kern w:val="2"/>
          <w:sz w:val="32"/>
          <w:szCs w:val="32"/>
          <w:highlight w:val="none"/>
          <w:lang w:val="en-US" w:eastAsia="zh-CN" w:bidi="ar-SA"/>
        </w:rPr>
        <w:t>部门</w:t>
      </w:r>
      <w:r>
        <w:rPr>
          <w:rFonts w:ascii="Times New Roman" w:hAnsi="Times New Roman" w:eastAsia="仿宋_GB2312" w:cs="Times New Roman"/>
          <w:kern w:val="2"/>
          <w:sz w:val="32"/>
          <w:szCs w:val="32"/>
          <w:highlight w:val="none"/>
          <w:lang w:val="en-US" w:eastAsia="zh-CN" w:bidi="ar-SA"/>
        </w:rPr>
        <w:t>总数的比例为百分之百。实际隐患排查整治完成数量占实际隐患排查总数的比例为百分之百，提升企业安全管理水平，及时消除安全隐患。</w:t>
      </w:r>
    </w:p>
    <w:p>
      <w:pPr>
        <w:keepNext w:val="0"/>
        <w:keepLines w:val="0"/>
        <w:pageBreakBefore w:val="0"/>
        <w:widowControl w:val="0"/>
        <w:kinsoku/>
        <w:wordWrap/>
        <w:overflowPunct/>
        <w:topLinePunct w:val="0"/>
        <w:autoSpaceDE/>
        <w:autoSpaceDN/>
        <w:bidi w:val="0"/>
        <w:adjustRightInd/>
        <w:snapToGrid/>
        <w:spacing w:line="590" w:lineRule="exact"/>
        <w:ind w:firstLine="321" w:firstLineChars="1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afterLines="50" w:line="580" w:lineRule="exact"/>
        <w:ind w:firstLine="627" w:firstLineChars="196"/>
        <w:jc w:val="left"/>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强化政治引领，打造高素质干部队伍。一是深入学习贯彻党的二十大精神。把学习宣传贯彻党的二十大精神作为首要政治任务，深刻领会新时代新征程中国共产党的使命任务，深刻领会中国式现代化的中国特色和本质要求，以高度的政治自觉抓好学习宣传和贯彻落实，推动党的二十大精神落地生根。二是坚持全面从严治党。进一步压实主体责任，打造上下贯通、层层负责的责任链条，紧盯行政执法、项目审批、工程建设等重点领域，健全完善制度机制，强化纪律教育和警示教育，以系统施治、标本兼治的理念正风肃纪，让求真务实、清正廉洁的新风正气更加充盈。三是加强干部队伍建设。强化督导考核，与绩效挂钩，与聘任挂钩，真正把能干事、干成事的干部考准考实，进一步激励引导广大干部以更好的状态、更实的作风投入到建设发展上来。</w:t>
      </w:r>
    </w:p>
    <w:p>
      <w:pPr>
        <w:overflowPunct w:val="0"/>
        <w:adjustRightInd w:val="0"/>
        <w:snapToGrid w:val="0"/>
        <w:spacing w:afterLines="50" w:line="580" w:lineRule="exact"/>
        <w:ind w:firstLine="321" w:firstLineChars="100"/>
        <w:jc w:val="left"/>
        <w:rPr>
          <w:rFonts w:hint="eastAsia"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部门</w:t>
      </w:r>
      <w:r>
        <w:rPr>
          <w:rFonts w:hint="eastAsia" w:ascii="楷体_GB2312" w:eastAsia="楷体_GB2312" w:cs="Times New Roman"/>
          <w:b/>
          <w:sz w:val="32"/>
          <w:szCs w:val="32"/>
        </w:rPr>
        <w:t>整体支出绩效指标</w:t>
      </w:r>
    </w:p>
    <w:tbl>
      <w:tblPr>
        <w:tblStyle w:val="9"/>
        <w:tblW w:w="124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5"/>
        <w:gridCol w:w="1455"/>
        <w:gridCol w:w="1590"/>
        <w:gridCol w:w="1080"/>
        <w:gridCol w:w="1710"/>
        <w:gridCol w:w="1230"/>
        <w:gridCol w:w="1200"/>
        <w:gridCol w:w="123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2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一级指标</w:t>
            </w:r>
          </w:p>
        </w:tc>
        <w:tc>
          <w:tcPr>
            <w:tcW w:w="1455"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二级</w:t>
            </w:r>
          </w:p>
        </w:tc>
        <w:tc>
          <w:tcPr>
            <w:tcW w:w="159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三级</w:t>
            </w:r>
          </w:p>
        </w:tc>
        <w:tc>
          <w:tcPr>
            <w:tcW w:w="108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评（扣）分标准</w:t>
            </w:r>
          </w:p>
        </w:tc>
        <w:tc>
          <w:tcPr>
            <w:tcW w:w="171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绩效指标</w:t>
            </w:r>
          </w:p>
        </w:tc>
        <w:tc>
          <w:tcPr>
            <w:tcW w:w="3660"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指标值</w:t>
            </w:r>
          </w:p>
        </w:tc>
        <w:tc>
          <w:tcPr>
            <w:tcW w:w="171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指标</w:t>
            </w:r>
          </w:p>
        </w:tc>
        <w:tc>
          <w:tcPr>
            <w:tcW w:w="1080" w:type="dxa"/>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b/>
                <w:bCs/>
                <w:i w:val="0"/>
                <w:iCs w:val="0"/>
                <w:color w:val="000000"/>
                <w:sz w:val="21"/>
                <w:szCs w:val="21"/>
                <w:u w:val="none"/>
              </w:rPr>
            </w:pP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描述</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符号</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值</w:t>
            </w:r>
          </w:p>
        </w:tc>
        <w:tc>
          <w:tcPr>
            <w:tcW w:w="123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eastAsia" w:ascii="方正书宋_GBK" w:hAnsi="方正书宋_GBK" w:eastAsia="方正书宋_GBK" w:cs="方正书宋_GBK"/>
                <w:b/>
                <w:bCs/>
                <w:i w:val="0"/>
                <w:iCs w:val="0"/>
                <w:color w:val="000000"/>
                <w:kern w:val="0"/>
                <w:sz w:val="21"/>
                <w:szCs w:val="21"/>
                <w:u w:val="none"/>
                <w:lang w:val="en-US" w:eastAsia="zh-CN" w:bidi="ar"/>
              </w:rPr>
              <w:t>部门</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1"/>
                <w:szCs w:val="21"/>
                <w:u w:val="none"/>
              </w:rPr>
            </w:pPr>
            <w:r>
              <w:rPr>
                <w:rFonts w:hint="default" w:ascii="方正书宋_GBK" w:hAnsi="方正书宋_GBK" w:eastAsia="方正书宋_GBK" w:cs="方正书宋_GBK"/>
                <w:b/>
                <w:bCs/>
                <w:i w:val="0"/>
                <w:iCs w:val="0"/>
                <w:color w:val="000000"/>
                <w:kern w:val="0"/>
                <w:sz w:val="21"/>
                <w:szCs w:val="21"/>
                <w:u w:val="none"/>
                <w:lang w:val="en-US" w:eastAsia="zh-CN" w:bidi="ar"/>
              </w:rPr>
              <w:t>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21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eastAsia" w:ascii="方正书宋_GBK" w:hAnsi="方正书宋_GBK" w:eastAsia="方正书宋_GBK" w:cs="方正书宋_GBK"/>
                <w:i w:val="0"/>
                <w:iCs w:val="0"/>
                <w:color w:val="000000"/>
                <w:kern w:val="0"/>
                <w:sz w:val="21"/>
                <w:szCs w:val="21"/>
                <w:u w:val="none"/>
                <w:lang w:val="en-US" w:eastAsia="zh-CN" w:bidi="ar"/>
              </w:rPr>
              <w:t>部门</w:t>
            </w:r>
            <w:r>
              <w:rPr>
                <w:rFonts w:hint="default" w:ascii="方正书宋_GBK" w:hAnsi="方正书宋_GBK" w:eastAsia="方正书宋_GBK" w:cs="方正书宋_GBK"/>
                <w:i w:val="0"/>
                <w:iCs w:val="0"/>
                <w:color w:val="000000"/>
                <w:kern w:val="0"/>
                <w:sz w:val="21"/>
                <w:szCs w:val="21"/>
                <w:u w:val="none"/>
                <w:lang w:val="en-US" w:eastAsia="zh-CN" w:bidi="ar"/>
              </w:rPr>
              <w:t>产出</w:t>
            </w: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数量</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数量指标</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业务处理及时率</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维修单反馈单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质量</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质量指标</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正常运转率</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时效</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工作完成及时率</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反映工作完成及时率</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成本</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预算控制数</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成本控制在预算额度内</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亿</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15"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eastAsia" w:ascii="方正书宋_GBK" w:hAnsi="方正书宋_GBK" w:eastAsia="方正书宋_GBK" w:cs="方正书宋_GBK"/>
                <w:i w:val="0"/>
                <w:iCs w:val="0"/>
                <w:color w:val="000000"/>
                <w:kern w:val="0"/>
                <w:sz w:val="21"/>
                <w:szCs w:val="21"/>
                <w:u w:val="none"/>
                <w:lang w:val="en-US" w:eastAsia="zh-CN" w:bidi="ar"/>
              </w:rPr>
              <w:t>部门</w:t>
            </w:r>
            <w:r>
              <w:rPr>
                <w:rFonts w:hint="default" w:ascii="方正书宋_GBK" w:hAnsi="方正书宋_GBK" w:eastAsia="方正书宋_GBK" w:cs="方正书宋_GBK"/>
                <w:i w:val="0"/>
                <w:iCs w:val="0"/>
                <w:color w:val="000000"/>
                <w:kern w:val="0"/>
                <w:sz w:val="21"/>
                <w:szCs w:val="21"/>
                <w:u w:val="none"/>
                <w:lang w:val="en-US" w:eastAsia="zh-CN" w:bidi="ar"/>
              </w:rPr>
              <w:t>效果</w:t>
            </w:r>
          </w:p>
        </w:tc>
        <w:tc>
          <w:tcPr>
            <w:tcW w:w="145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社会</w:t>
            </w:r>
          </w:p>
        </w:tc>
        <w:tc>
          <w:tcPr>
            <w:tcW w:w="159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经济发展</w:t>
            </w:r>
          </w:p>
        </w:tc>
        <w:tc>
          <w:tcPr>
            <w:tcW w:w="1080" w:type="dxa"/>
            <w:vMerge w:val="restar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经济发展有效促进经济发展</w:t>
            </w:r>
          </w:p>
        </w:tc>
        <w:tc>
          <w:tcPr>
            <w:tcW w:w="12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文字描述</w:t>
            </w:r>
          </w:p>
        </w:tc>
        <w:tc>
          <w:tcPr>
            <w:tcW w:w="1200"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制定招商方案，改善营商环境</w:t>
            </w:r>
          </w:p>
        </w:tc>
        <w:tc>
          <w:tcPr>
            <w:tcW w:w="17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招商方案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效益</w:t>
            </w:r>
          </w:p>
        </w:tc>
        <w:tc>
          <w:tcPr>
            <w:tcW w:w="159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top"/>
          </w:tcPr>
          <w:p>
            <w:pPr>
              <w:jc w:val="center"/>
              <w:rPr>
                <w:rFonts w:hint="eastAsia" w:ascii="仿宋" w:hAnsi="仿宋" w:eastAsia="仿宋" w:cs="仿宋"/>
                <w:i w:val="0"/>
                <w:iCs w:val="0"/>
                <w:color w:val="000000"/>
                <w:sz w:val="21"/>
                <w:szCs w:val="21"/>
                <w:u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23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20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3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经济</w:t>
            </w:r>
          </w:p>
        </w:tc>
        <w:tc>
          <w:tcPr>
            <w:tcW w:w="159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社会效益指标</w:t>
            </w:r>
          </w:p>
        </w:tc>
        <w:tc>
          <w:tcPr>
            <w:tcW w:w="1080" w:type="dxa"/>
            <w:vMerge w:val="restart"/>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7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机关正常运转</w:t>
            </w:r>
          </w:p>
        </w:tc>
        <w:tc>
          <w:tcPr>
            <w:tcW w:w="12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文字描述</w:t>
            </w:r>
          </w:p>
        </w:tc>
        <w:tc>
          <w:tcPr>
            <w:tcW w:w="1200"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正常运转</w:t>
            </w:r>
          </w:p>
        </w:tc>
        <w:tc>
          <w:tcPr>
            <w:tcW w:w="171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高新区年度计划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效益</w:t>
            </w:r>
          </w:p>
        </w:tc>
        <w:tc>
          <w:tcPr>
            <w:tcW w:w="159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080" w:type="dxa"/>
            <w:vMerge w:val="continue"/>
            <w:tcBorders>
              <w:top w:val="nil"/>
              <w:left w:val="nil"/>
              <w:bottom w:val="single" w:color="000000" w:sz="8" w:space="0"/>
              <w:right w:val="single" w:color="000000" w:sz="8" w:space="0"/>
            </w:tcBorders>
            <w:shd w:val="clear" w:color="auto" w:fill="auto"/>
            <w:vAlign w:val="top"/>
          </w:tcPr>
          <w:p>
            <w:pPr>
              <w:jc w:val="center"/>
              <w:rPr>
                <w:rFonts w:hint="eastAsia" w:ascii="仿宋" w:hAnsi="仿宋" w:eastAsia="仿宋" w:cs="仿宋"/>
                <w:i w:val="0"/>
                <w:iCs w:val="0"/>
                <w:color w:val="000000"/>
                <w:sz w:val="21"/>
                <w:szCs w:val="21"/>
                <w:u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23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c>
          <w:tcPr>
            <w:tcW w:w="120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23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71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仿宋" w:hAnsi="仿宋" w:eastAsia="仿宋" w:cs="仿宋"/>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5" w:hRule="atLeast"/>
        </w:trPr>
        <w:tc>
          <w:tcPr>
            <w:tcW w:w="1215"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default" w:ascii="方正书宋_GBK" w:hAnsi="方正书宋_GBK" w:eastAsia="方正书宋_GBK" w:cs="方正书宋_GBK"/>
                <w:i w:val="0"/>
                <w:iCs w:val="0"/>
                <w:color w:val="000000"/>
                <w:sz w:val="21"/>
                <w:szCs w:val="21"/>
                <w:u w:val="none"/>
              </w:rPr>
            </w:pPr>
          </w:p>
        </w:tc>
        <w:tc>
          <w:tcPr>
            <w:tcW w:w="14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1"/>
                <w:szCs w:val="21"/>
                <w:u w:val="none"/>
              </w:rPr>
            </w:pPr>
            <w:r>
              <w:rPr>
                <w:rFonts w:hint="default" w:ascii="方正书宋_GBK" w:hAnsi="方正书宋_GBK" w:eastAsia="方正书宋_GBK" w:cs="方正书宋_GBK"/>
                <w:i w:val="0"/>
                <w:iCs w:val="0"/>
                <w:color w:val="000000"/>
                <w:kern w:val="0"/>
                <w:sz w:val="21"/>
                <w:szCs w:val="21"/>
                <w:u w:val="none"/>
                <w:lang w:val="en-US" w:eastAsia="zh-CN" w:bidi="ar"/>
              </w:rPr>
              <w:t>满意度</w:t>
            </w:r>
          </w:p>
        </w:tc>
        <w:tc>
          <w:tcPr>
            <w:tcW w:w="15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受益群体满意度</w:t>
            </w:r>
          </w:p>
        </w:tc>
        <w:tc>
          <w:tcPr>
            <w:tcW w:w="1080"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受益群体调查中，满意和较满意的人数占全部调查人数的比率</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2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95</w:t>
            </w:r>
          </w:p>
        </w:tc>
        <w:tc>
          <w:tcPr>
            <w:tcW w:w="12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p>
        </w:tc>
        <w:tc>
          <w:tcPr>
            <w:tcW w:w="17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电话回访</w:t>
            </w:r>
          </w:p>
        </w:tc>
      </w:tr>
    </w:tbl>
    <w:p>
      <w:r>
        <w:rPr>
          <w:rFonts w:ascii="仿宋_GB2312" w:eastAsia="仿宋_GB2312" w:cs="Times New Roman"/>
          <w:sz w:val="32"/>
          <w:szCs w:val="32"/>
        </w:rPr>
        <w:br w:type="page"/>
      </w:r>
    </w:p>
    <w:p>
      <w:pPr>
        <w:rPr>
          <w:rFonts w:hint="eastAsia" w:ascii="Times New Roman" w:hAnsi="Times New Roman" w:eastAsia="黑体" w:cs="Times New Roman"/>
          <w:sz w:val="32"/>
          <w:szCs w:val="32"/>
        </w:rPr>
        <w:sectPr>
          <w:footerReference r:id="rId3" w:type="default"/>
          <w:pgSz w:w="16838" w:h="11906" w:orient="landscape"/>
          <w:pgMar w:top="1800" w:right="1440" w:bottom="1800" w:left="1440" w:header="851" w:footer="992" w:gutter="0"/>
          <w:cols w:space="720" w:num="1"/>
          <w:titlePg/>
          <w:docGrid w:type="lines" w:linePitch="312" w:charSpace="0"/>
        </w:sectPr>
      </w:pPr>
    </w:p>
    <w:p>
      <w:pPr>
        <w:spacing w:line="584" w:lineRule="exact"/>
        <w:ind w:firstLine="640" w:firstLineChars="200"/>
        <w:rPr>
          <w:rFonts w:hint="eastAsia" w:ascii="Times New Roman" w:hAnsi="Times New Roman" w:eastAsia="黑体" w:cs="Times New Roman"/>
          <w:sz w:val="32"/>
          <w:szCs w:val="32"/>
        </w:rPr>
      </w:pPr>
      <w:bookmarkStart w:id="0" w:name="_Toc_4_4_0000000004"/>
      <w:r>
        <w:rPr>
          <w:rFonts w:hint="eastAsia" w:ascii="Times New Roman" w:hAnsi="Times New Roman" w:eastAsia="黑体" w:cs="Times New Roman"/>
          <w:sz w:val="32"/>
          <w:szCs w:val="32"/>
        </w:rPr>
        <w:t>第二部分资金绩效目标</w:t>
      </w:r>
    </w:p>
    <w:bookmarkEnd w:id="0"/>
    <w:p>
      <w:pPr>
        <w:spacing w:before="0" w:after="0"/>
        <w:ind w:firstLine="560"/>
        <w:jc w:val="left"/>
        <w:outlineLvl w:val="3"/>
      </w:pPr>
      <w:r>
        <w:rPr>
          <w:rFonts w:ascii="方正仿宋_GBK" w:hAnsi="方正仿宋_GBK" w:eastAsia="方正仿宋_GBK" w:cs="方正仿宋_GBK"/>
          <w:color w:val="000000"/>
          <w:sz w:val="28"/>
        </w:rPr>
        <w:t>1.安全生产经费绩效目标表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1.通过安全宣传、培训、聘请安全评价机构专家协助综合监管执法，购置执法装备，采购应急救援装备，筹建视频会议等，促进高新区的安全生产形势稳定。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年度宣教次数</w:t>
            </w:r>
          </w:p>
        </w:tc>
        <w:tc>
          <w:tcPr>
            <w:tcW w:w="2891" w:type="dxa"/>
            <w:vAlign w:val="center"/>
          </w:tcPr>
          <w:p>
            <w:pPr>
              <w:pStyle w:val="15"/>
            </w:pPr>
            <w:r>
              <w:t>本年应达到的宣教次数</w:t>
            </w:r>
          </w:p>
        </w:tc>
        <w:tc>
          <w:tcPr>
            <w:tcW w:w="1276" w:type="dxa"/>
            <w:vAlign w:val="center"/>
          </w:tcPr>
          <w:p>
            <w:pPr>
              <w:pStyle w:val="15"/>
            </w:pPr>
            <w:r>
              <w:t>≥5次</w:t>
            </w:r>
          </w:p>
        </w:tc>
        <w:tc>
          <w:tcPr>
            <w:tcW w:w="1843" w:type="dxa"/>
            <w:vAlign w:val="center"/>
          </w:tcPr>
          <w:p>
            <w:pPr>
              <w:pStyle w:val="15"/>
            </w:pPr>
            <w:r>
              <w:t>相关影像资料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培训人数覆盖率</w:t>
            </w:r>
          </w:p>
        </w:tc>
        <w:tc>
          <w:tcPr>
            <w:tcW w:w="2891" w:type="dxa"/>
            <w:vAlign w:val="center"/>
          </w:tcPr>
          <w:p>
            <w:pPr>
              <w:pStyle w:val="15"/>
            </w:pPr>
            <w:r>
              <w:t>培训到场人数占应到场人数比例</w:t>
            </w:r>
          </w:p>
        </w:tc>
        <w:tc>
          <w:tcPr>
            <w:tcW w:w="1276" w:type="dxa"/>
            <w:vAlign w:val="center"/>
          </w:tcPr>
          <w:p>
            <w:pPr>
              <w:pStyle w:val="15"/>
            </w:pPr>
            <w:r>
              <w:t>≥90%</w:t>
            </w:r>
          </w:p>
        </w:tc>
        <w:tc>
          <w:tcPr>
            <w:tcW w:w="1843" w:type="dxa"/>
            <w:vAlign w:val="center"/>
          </w:tcPr>
          <w:p>
            <w:pPr>
              <w:pStyle w:val="15"/>
            </w:pPr>
            <w:r>
              <w:t>培训签到记录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采购物资供货及时性</w:t>
            </w:r>
          </w:p>
        </w:tc>
        <w:tc>
          <w:tcPr>
            <w:tcW w:w="2891" w:type="dxa"/>
            <w:vAlign w:val="center"/>
          </w:tcPr>
          <w:p>
            <w:pPr>
              <w:pStyle w:val="15"/>
            </w:pPr>
            <w:r>
              <w:t>采购物资或服务是否按照合同约定完成</w:t>
            </w:r>
          </w:p>
        </w:tc>
        <w:tc>
          <w:tcPr>
            <w:tcW w:w="1276" w:type="dxa"/>
            <w:vAlign w:val="center"/>
          </w:tcPr>
          <w:p>
            <w:pPr>
              <w:pStyle w:val="15"/>
            </w:pPr>
            <w:r>
              <w:t>≤30天</w:t>
            </w:r>
          </w:p>
        </w:tc>
        <w:tc>
          <w:tcPr>
            <w:tcW w:w="1843" w:type="dxa"/>
            <w:vAlign w:val="center"/>
          </w:tcPr>
          <w:p>
            <w:pPr>
              <w:pStyle w:val="15"/>
            </w:pPr>
            <w:r>
              <w:t>合同、验收报告、成果资料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单次培训预算控制</w:t>
            </w:r>
          </w:p>
        </w:tc>
        <w:tc>
          <w:tcPr>
            <w:tcW w:w="1276" w:type="dxa"/>
            <w:vAlign w:val="center"/>
          </w:tcPr>
          <w:p>
            <w:pPr>
              <w:pStyle w:val="15"/>
            </w:pPr>
            <w:r>
              <w:t>≤30万元</w:t>
            </w:r>
          </w:p>
        </w:tc>
        <w:tc>
          <w:tcPr>
            <w:tcW w:w="1843" w:type="dxa"/>
            <w:vAlign w:val="center"/>
          </w:tcPr>
          <w:p>
            <w:pPr>
              <w:pStyle w:val="15"/>
            </w:pPr>
            <w: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经济发展</w:t>
            </w:r>
          </w:p>
        </w:tc>
        <w:tc>
          <w:tcPr>
            <w:tcW w:w="1276" w:type="dxa"/>
            <w:vAlign w:val="center"/>
          </w:tcPr>
          <w:p>
            <w:pPr>
              <w:pStyle w:val="15"/>
            </w:pPr>
            <w:r>
              <w:t>制定招商方案，改善营商环境</w:t>
            </w:r>
          </w:p>
        </w:tc>
        <w:tc>
          <w:tcPr>
            <w:tcW w:w="1843" w:type="dxa"/>
            <w:vAlign w:val="center"/>
          </w:tcPr>
          <w:p>
            <w:pPr>
              <w:pStyle w:val="15"/>
            </w:pPr>
            <w: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培养群众安全意识及应对方法</w:t>
            </w:r>
          </w:p>
        </w:tc>
        <w:tc>
          <w:tcPr>
            <w:tcW w:w="2891" w:type="dxa"/>
            <w:vAlign w:val="center"/>
          </w:tcPr>
          <w:p>
            <w:pPr>
              <w:pStyle w:val="15"/>
            </w:pPr>
            <w:r>
              <w:t>开展各项宣传，培养群众安全意识及应对方法</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2.财政业务费绩效目标表</w:t>
      </w:r>
      <w:bookmarkEnd w:id="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1.通过评审业务的开展，压缩建设成本，节约财政资金。</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业务数(件)</w:t>
            </w:r>
          </w:p>
        </w:tc>
        <w:tc>
          <w:tcPr>
            <w:tcW w:w="2891" w:type="dxa"/>
            <w:vAlign w:val="center"/>
          </w:tcPr>
          <w:p>
            <w:pPr>
              <w:pStyle w:val="15"/>
            </w:pPr>
            <w:r>
              <w:t>当年办结的业务数量</w:t>
            </w:r>
          </w:p>
        </w:tc>
        <w:tc>
          <w:tcPr>
            <w:tcW w:w="1276" w:type="dxa"/>
            <w:vAlign w:val="center"/>
          </w:tcPr>
          <w:p>
            <w:pPr>
              <w:pStyle w:val="15"/>
            </w:pPr>
            <w:r>
              <w:t>≥50件</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当年办结业务完成率</w:t>
            </w:r>
          </w:p>
        </w:tc>
        <w:tc>
          <w:tcPr>
            <w:tcW w:w="2891" w:type="dxa"/>
            <w:vAlign w:val="center"/>
          </w:tcPr>
          <w:p>
            <w:pPr>
              <w:pStyle w:val="15"/>
            </w:pPr>
            <w:r>
              <w:t>当年办结业务完成率</w:t>
            </w:r>
          </w:p>
        </w:tc>
        <w:tc>
          <w:tcPr>
            <w:tcW w:w="1276" w:type="dxa"/>
            <w:vAlign w:val="center"/>
          </w:tcPr>
          <w:p>
            <w:pPr>
              <w:pStyle w:val="15"/>
            </w:pPr>
            <w:r>
              <w:t>≥90%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评审业务完结及时性</w:t>
            </w:r>
          </w:p>
        </w:tc>
        <w:tc>
          <w:tcPr>
            <w:tcW w:w="2891" w:type="dxa"/>
            <w:vAlign w:val="center"/>
          </w:tcPr>
          <w:p>
            <w:pPr>
              <w:pStyle w:val="15"/>
            </w:pPr>
            <w:r>
              <w:t>评审业务完结及时性</w:t>
            </w:r>
          </w:p>
        </w:tc>
        <w:tc>
          <w:tcPr>
            <w:tcW w:w="1276" w:type="dxa"/>
            <w:vAlign w:val="center"/>
          </w:tcPr>
          <w:p>
            <w:pPr>
              <w:pStyle w:val="15"/>
            </w:pPr>
            <w:r>
              <w:t>≤20天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单个项目结算审核成本控制在预算额度内</w:t>
            </w:r>
          </w:p>
        </w:tc>
        <w:tc>
          <w:tcPr>
            <w:tcW w:w="1276" w:type="dxa"/>
            <w:vAlign w:val="center"/>
          </w:tcPr>
          <w:p>
            <w:pPr>
              <w:pStyle w:val="15"/>
            </w:pPr>
            <w:r>
              <w:t>≤30万元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经济发展有效促进经济发展</w:t>
            </w:r>
          </w:p>
        </w:tc>
        <w:tc>
          <w:tcPr>
            <w:tcW w:w="1276" w:type="dxa"/>
            <w:vAlign w:val="center"/>
          </w:tcPr>
          <w:p>
            <w:pPr>
              <w:pStyle w:val="15"/>
            </w:pPr>
            <w:r>
              <w:t>制定招商方案，改善营商环境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社会稳定水平</w:t>
            </w:r>
          </w:p>
        </w:tc>
        <w:tc>
          <w:tcPr>
            <w:tcW w:w="1276" w:type="dxa"/>
            <w:vAlign w:val="center"/>
          </w:tcPr>
          <w:p>
            <w:pPr>
              <w:pStyle w:val="15"/>
            </w:pPr>
            <w:r>
              <w:t>显著提高</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3.城市管理业务费绩效目标表</w:t>
      </w:r>
      <w:bookmarkEnd w:id="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1.通过人员经费的安排确保临时和派遣人员工资正常发放.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工资发人数</w:t>
            </w:r>
          </w:p>
        </w:tc>
        <w:tc>
          <w:tcPr>
            <w:tcW w:w="2891" w:type="dxa"/>
            <w:vAlign w:val="center"/>
          </w:tcPr>
          <w:p>
            <w:pPr>
              <w:pStyle w:val="15"/>
            </w:pPr>
            <w:r>
              <w:t>工资发放人数</w:t>
            </w:r>
          </w:p>
        </w:tc>
        <w:tc>
          <w:tcPr>
            <w:tcW w:w="1276" w:type="dxa"/>
            <w:vAlign w:val="center"/>
          </w:tcPr>
          <w:p>
            <w:pPr>
              <w:pStyle w:val="15"/>
            </w:pPr>
            <w:r>
              <w:t>≤400人</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工资发放率</w:t>
            </w:r>
          </w:p>
        </w:tc>
        <w:tc>
          <w:tcPr>
            <w:tcW w:w="2891" w:type="dxa"/>
            <w:vAlign w:val="center"/>
          </w:tcPr>
          <w:p>
            <w:pPr>
              <w:pStyle w:val="15"/>
            </w:pPr>
            <w:r>
              <w:t>工资发放率</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工资发放及时性</w:t>
            </w:r>
          </w:p>
        </w:tc>
        <w:tc>
          <w:tcPr>
            <w:tcW w:w="2891" w:type="dxa"/>
            <w:vAlign w:val="center"/>
          </w:tcPr>
          <w:p>
            <w:pPr>
              <w:pStyle w:val="15"/>
            </w:pPr>
            <w:r>
              <w:t>工资发放及时性</w:t>
            </w:r>
          </w:p>
        </w:tc>
        <w:tc>
          <w:tcPr>
            <w:tcW w:w="1276" w:type="dxa"/>
            <w:vAlign w:val="center"/>
          </w:tcPr>
          <w:p>
            <w:pPr>
              <w:pStyle w:val="15"/>
            </w:pPr>
            <w:r>
              <w:t>根据人事通知及表格及时发放</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每人工资在预算额度内</w:t>
            </w:r>
          </w:p>
        </w:tc>
        <w:tc>
          <w:tcPr>
            <w:tcW w:w="1276" w:type="dxa"/>
            <w:vAlign w:val="center"/>
          </w:tcPr>
          <w:p>
            <w:pPr>
              <w:pStyle w:val="15"/>
            </w:pPr>
            <w:r>
              <w:t>≤5000元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促进社会稳定水平逐步提高</w:t>
            </w:r>
          </w:p>
        </w:tc>
        <w:tc>
          <w:tcPr>
            <w:tcW w:w="1276" w:type="dxa"/>
            <w:vAlign w:val="center"/>
          </w:tcPr>
          <w:p>
            <w:pPr>
              <w:pStyle w:val="15"/>
            </w:pPr>
            <w:r>
              <w:t>显著提高</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4.城市基础设施运行维护费绩效目标表</w:t>
      </w:r>
      <w:bookmarkEnd w:id="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1.通过项目的实施确保区内活动正常运转。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修缮建筑面积</w:t>
            </w:r>
          </w:p>
        </w:tc>
        <w:tc>
          <w:tcPr>
            <w:tcW w:w="2891" w:type="dxa"/>
            <w:vAlign w:val="center"/>
          </w:tcPr>
          <w:p>
            <w:pPr>
              <w:pStyle w:val="15"/>
            </w:pPr>
            <w:r>
              <w:t>修缮建筑面积</w:t>
            </w:r>
          </w:p>
        </w:tc>
        <w:tc>
          <w:tcPr>
            <w:tcW w:w="1276" w:type="dxa"/>
            <w:vAlign w:val="center"/>
          </w:tcPr>
          <w:p>
            <w:pPr>
              <w:pStyle w:val="15"/>
            </w:pPr>
            <w:r>
              <w:t>≥100项</w:t>
            </w:r>
          </w:p>
        </w:tc>
        <w:tc>
          <w:tcPr>
            <w:tcW w:w="1843" w:type="dxa"/>
            <w:vAlign w:val="center"/>
          </w:tcPr>
          <w:p>
            <w:pPr>
              <w:pStyle w:val="15"/>
            </w:pPr>
            <w:r>
              <w:t>影像资料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改建建筑验收合格率（%）</w:t>
            </w:r>
          </w:p>
        </w:tc>
        <w:tc>
          <w:tcPr>
            <w:tcW w:w="2891" w:type="dxa"/>
            <w:vAlign w:val="center"/>
          </w:tcPr>
          <w:p>
            <w:pPr>
              <w:pStyle w:val="15"/>
            </w:pPr>
            <w:r>
              <w:t>改建建筑验收合格率（%）</w:t>
            </w:r>
          </w:p>
        </w:tc>
        <w:tc>
          <w:tcPr>
            <w:tcW w:w="1276" w:type="dxa"/>
            <w:vAlign w:val="center"/>
          </w:tcPr>
          <w:p>
            <w:pPr>
              <w:pStyle w:val="15"/>
            </w:pPr>
            <w:r>
              <w:t>≥98%</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及时性</w:t>
            </w:r>
          </w:p>
        </w:tc>
        <w:tc>
          <w:tcPr>
            <w:tcW w:w="2891" w:type="dxa"/>
            <w:vAlign w:val="center"/>
          </w:tcPr>
          <w:p>
            <w:pPr>
              <w:pStyle w:val="15"/>
            </w:pPr>
            <w:r>
              <w:t>及时性</w:t>
            </w:r>
          </w:p>
        </w:tc>
        <w:tc>
          <w:tcPr>
            <w:tcW w:w="1276" w:type="dxa"/>
            <w:vAlign w:val="center"/>
          </w:tcPr>
          <w:p>
            <w:pPr>
              <w:pStyle w:val="15"/>
            </w:pPr>
            <w:r>
              <w:t>≤10天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井盖维修成本</w:t>
            </w:r>
          </w:p>
        </w:tc>
        <w:tc>
          <w:tcPr>
            <w:tcW w:w="2891" w:type="dxa"/>
            <w:vAlign w:val="center"/>
          </w:tcPr>
          <w:p>
            <w:pPr>
              <w:pStyle w:val="15"/>
            </w:pPr>
            <w:r>
              <w:t>单个井盖维修成本</w:t>
            </w:r>
          </w:p>
        </w:tc>
        <w:tc>
          <w:tcPr>
            <w:tcW w:w="1276" w:type="dxa"/>
            <w:vAlign w:val="center"/>
          </w:tcPr>
          <w:p>
            <w:pPr>
              <w:pStyle w:val="15"/>
            </w:pPr>
            <w:r>
              <w:t>≤1000元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道路设施完好率</w:t>
            </w:r>
          </w:p>
        </w:tc>
        <w:tc>
          <w:tcPr>
            <w:tcW w:w="2891" w:type="dxa"/>
            <w:vAlign w:val="center"/>
          </w:tcPr>
          <w:p>
            <w:pPr>
              <w:pStyle w:val="15"/>
            </w:pPr>
            <w:r>
              <w:t>道路设施完好率</w:t>
            </w:r>
          </w:p>
        </w:tc>
        <w:tc>
          <w:tcPr>
            <w:tcW w:w="1276" w:type="dxa"/>
            <w:vAlign w:val="center"/>
          </w:tcPr>
          <w:p>
            <w:pPr>
              <w:pStyle w:val="15"/>
            </w:pPr>
            <w:r>
              <w:t>≥98%</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客户满意度</w:t>
            </w:r>
          </w:p>
        </w:tc>
        <w:tc>
          <w:tcPr>
            <w:tcW w:w="2891" w:type="dxa"/>
            <w:vAlign w:val="center"/>
          </w:tcPr>
          <w:p>
            <w:pPr>
              <w:pStyle w:val="15"/>
            </w:pPr>
            <w:r>
              <w:t>客户满意度</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5.城市基础设施运行维护费绩效目标表</w:t>
      </w:r>
      <w:bookmarkEnd w:id="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1.通过项目的实施确保区内活动正常运转。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rPr>
                <w:rFonts w:hint="eastAsia" w:eastAsia="方正书宋_GBK"/>
                <w:lang w:eastAsia="zh-CN"/>
              </w:rPr>
            </w:pPr>
            <w:r>
              <w:t>建设、改造、修缮工程量（平米</w:t>
            </w:r>
            <w:r>
              <w:rPr>
                <w:rFonts w:hint="eastAsia"/>
                <w:lang w:eastAsia="zh-CN"/>
              </w:rPr>
              <w:t>）</w:t>
            </w:r>
          </w:p>
        </w:tc>
        <w:tc>
          <w:tcPr>
            <w:tcW w:w="2891" w:type="dxa"/>
            <w:vAlign w:val="center"/>
          </w:tcPr>
          <w:p>
            <w:pPr>
              <w:pStyle w:val="15"/>
            </w:pPr>
            <w:r>
              <w:t>建设、改造、修缮工程量（平米、公里、个数、亩等）</w:t>
            </w:r>
          </w:p>
        </w:tc>
        <w:tc>
          <w:tcPr>
            <w:tcW w:w="1276" w:type="dxa"/>
            <w:vAlign w:val="center"/>
          </w:tcPr>
          <w:p>
            <w:pPr>
              <w:pStyle w:val="15"/>
            </w:pPr>
            <w:r>
              <w:t>≥1000平米</w:t>
            </w:r>
          </w:p>
        </w:tc>
        <w:tc>
          <w:tcPr>
            <w:tcW w:w="1843" w:type="dxa"/>
            <w:vAlign w:val="center"/>
          </w:tcPr>
          <w:p>
            <w:pPr>
              <w:pStyle w:val="15"/>
            </w:pPr>
            <w:r>
              <w:t>影像资料、验收报告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基础设施验收通过率（%）</w:t>
            </w:r>
          </w:p>
        </w:tc>
        <w:tc>
          <w:tcPr>
            <w:tcW w:w="2891" w:type="dxa"/>
            <w:vAlign w:val="center"/>
          </w:tcPr>
          <w:p>
            <w:pPr>
              <w:pStyle w:val="15"/>
            </w:pPr>
            <w:r>
              <w:t>基础设施验收通过率（%）</w:t>
            </w:r>
          </w:p>
        </w:tc>
        <w:tc>
          <w:tcPr>
            <w:tcW w:w="1276" w:type="dxa"/>
            <w:vAlign w:val="center"/>
          </w:tcPr>
          <w:p>
            <w:pPr>
              <w:pStyle w:val="15"/>
            </w:pPr>
            <w:r>
              <w:t>≥98%</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及时性</w:t>
            </w:r>
          </w:p>
        </w:tc>
        <w:tc>
          <w:tcPr>
            <w:tcW w:w="2891" w:type="dxa"/>
            <w:vAlign w:val="center"/>
          </w:tcPr>
          <w:p>
            <w:pPr>
              <w:pStyle w:val="15"/>
            </w:pPr>
            <w:r>
              <w:t>及时性</w:t>
            </w:r>
          </w:p>
        </w:tc>
        <w:tc>
          <w:tcPr>
            <w:tcW w:w="1276" w:type="dxa"/>
            <w:vAlign w:val="center"/>
          </w:tcPr>
          <w:p>
            <w:pPr>
              <w:pStyle w:val="15"/>
            </w:pPr>
            <w:r>
              <w:t>≤10天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井盖维修成本</w:t>
            </w:r>
          </w:p>
        </w:tc>
        <w:tc>
          <w:tcPr>
            <w:tcW w:w="2891" w:type="dxa"/>
            <w:vAlign w:val="center"/>
          </w:tcPr>
          <w:p>
            <w:pPr>
              <w:pStyle w:val="15"/>
            </w:pPr>
            <w:r>
              <w:t>单个井盖维修成本</w:t>
            </w:r>
          </w:p>
        </w:tc>
        <w:tc>
          <w:tcPr>
            <w:tcW w:w="1276" w:type="dxa"/>
            <w:vAlign w:val="center"/>
          </w:tcPr>
          <w:p>
            <w:pPr>
              <w:pStyle w:val="15"/>
            </w:pPr>
            <w:r>
              <w:t>≤1000元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道路设施完好率</w:t>
            </w:r>
          </w:p>
        </w:tc>
        <w:tc>
          <w:tcPr>
            <w:tcW w:w="2891" w:type="dxa"/>
            <w:vAlign w:val="center"/>
          </w:tcPr>
          <w:p>
            <w:pPr>
              <w:pStyle w:val="15"/>
            </w:pPr>
            <w:r>
              <w:t>道路设施完好率</w:t>
            </w:r>
          </w:p>
        </w:tc>
        <w:tc>
          <w:tcPr>
            <w:tcW w:w="1276" w:type="dxa"/>
            <w:vAlign w:val="center"/>
          </w:tcPr>
          <w:p>
            <w:pPr>
              <w:pStyle w:val="15"/>
            </w:pPr>
            <w:r>
              <w:t>≥98%</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客户满意度</w:t>
            </w:r>
          </w:p>
        </w:tc>
        <w:tc>
          <w:tcPr>
            <w:tcW w:w="2891" w:type="dxa"/>
            <w:vAlign w:val="center"/>
          </w:tcPr>
          <w:p>
            <w:pPr>
              <w:pStyle w:val="15"/>
            </w:pPr>
            <w:r>
              <w:t>客户满意度</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6.城市绿化管理费绩效目标表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1.通过对高新区内道路绿化和公园养护确保燕郊公园整洁、植物生长改善城市环境。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作业人员</w:t>
            </w:r>
          </w:p>
        </w:tc>
        <w:tc>
          <w:tcPr>
            <w:tcW w:w="2891" w:type="dxa"/>
            <w:vAlign w:val="center"/>
          </w:tcPr>
          <w:p>
            <w:pPr>
              <w:pStyle w:val="15"/>
            </w:pPr>
            <w:r>
              <w:t>每日作业人员不低于50人</w:t>
            </w:r>
          </w:p>
        </w:tc>
        <w:tc>
          <w:tcPr>
            <w:tcW w:w="1276" w:type="dxa"/>
            <w:vAlign w:val="center"/>
          </w:tcPr>
          <w:p>
            <w:pPr>
              <w:pStyle w:val="15"/>
            </w:pPr>
            <w:r>
              <w:t>≥50人</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设施运行率</w:t>
            </w:r>
          </w:p>
        </w:tc>
        <w:tc>
          <w:tcPr>
            <w:tcW w:w="2891" w:type="dxa"/>
            <w:vAlign w:val="center"/>
          </w:tcPr>
          <w:p>
            <w:pPr>
              <w:pStyle w:val="15"/>
            </w:pPr>
            <w:r>
              <w:t>维修质量</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维修时限</w:t>
            </w:r>
          </w:p>
        </w:tc>
        <w:tc>
          <w:tcPr>
            <w:tcW w:w="2891" w:type="dxa"/>
            <w:vAlign w:val="center"/>
          </w:tcPr>
          <w:p>
            <w:pPr>
              <w:pStyle w:val="15"/>
            </w:pPr>
            <w:r>
              <w:t>及时修剪、浇水</w:t>
            </w:r>
          </w:p>
        </w:tc>
        <w:tc>
          <w:tcPr>
            <w:tcW w:w="1276" w:type="dxa"/>
            <w:vAlign w:val="center"/>
          </w:tcPr>
          <w:p>
            <w:pPr>
              <w:pStyle w:val="15"/>
            </w:pPr>
            <w:r>
              <w:t>≤15天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月养护费</w:t>
            </w:r>
          </w:p>
        </w:tc>
        <w:tc>
          <w:tcPr>
            <w:tcW w:w="2891" w:type="dxa"/>
            <w:vAlign w:val="center"/>
          </w:tcPr>
          <w:p>
            <w:pPr>
              <w:pStyle w:val="15"/>
            </w:pPr>
            <w:r>
              <w:t>潮白河带状公园月养护费</w:t>
            </w:r>
          </w:p>
        </w:tc>
        <w:tc>
          <w:tcPr>
            <w:tcW w:w="1276" w:type="dxa"/>
            <w:vAlign w:val="center"/>
          </w:tcPr>
          <w:p>
            <w:pPr>
              <w:pStyle w:val="15"/>
            </w:pPr>
            <w:r>
              <w:t>≤78万元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提升城市绿化水平，改善居民生活环境</w:t>
            </w:r>
          </w:p>
        </w:tc>
        <w:tc>
          <w:tcPr>
            <w:tcW w:w="2891" w:type="dxa"/>
            <w:vAlign w:val="center"/>
          </w:tcPr>
          <w:p>
            <w:pPr>
              <w:pStyle w:val="15"/>
            </w:pPr>
            <w:r>
              <w:t>提升城市绿化水平，改善居民生活环境</w:t>
            </w:r>
          </w:p>
        </w:tc>
        <w:tc>
          <w:tcPr>
            <w:tcW w:w="1276" w:type="dxa"/>
            <w:vAlign w:val="center"/>
          </w:tcPr>
          <w:p>
            <w:pPr>
              <w:pStyle w:val="15"/>
            </w:pPr>
            <w:r>
              <w:t>提升城市绿化水平，改善居民生活环境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居民满意度</w:t>
            </w:r>
          </w:p>
        </w:tc>
        <w:tc>
          <w:tcPr>
            <w:tcW w:w="2891" w:type="dxa"/>
            <w:vAlign w:val="center"/>
          </w:tcPr>
          <w:p>
            <w:pPr>
              <w:pStyle w:val="15"/>
            </w:pPr>
            <w:r>
              <w:t>居民满意度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7.城市绿化管理费绩效目标表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1.通过对高新区内道路绿化和公园养护确保燕郊公园整洁、植物生长改善城市环境。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作业人员</w:t>
            </w:r>
          </w:p>
        </w:tc>
        <w:tc>
          <w:tcPr>
            <w:tcW w:w="2891" w:type="dxa"/>
            <w:vAlign w:val="center"/>
          </w:tcPr>
          <w:p>
            <w:pPr>
              <w:pStyle w:val="15"/>
            </w:pPr>
            <w:r>
              <w:t>每日作业人数不低于50人</w:t>
            </w:r>
          </w:p>
        </w:tc>
        <w:tc>
          <w:tcPr>
            <w:tcW w:w="1276" w:type="dxa"/>
            <w:vAlign w:val="center"/>
          </w:tcPr>
          <w:p>
            <w:pPr>
              <w:pStyle w:val="15"/>
            </w:pPr>
            <w:r>
              <w:t>≥50人</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设施运行率</w:t>
            </w:r>
          </w:p>
        </w:tc>
        <w:tc>
          <w:tcPr>
            <w:tcW w:w="2891" w:type="dxa"/>
            <w:vAlign w:val="center"/>
          </w:tcPr>
          <w:p>
            <w:pPr>
              <w:pStyle w:val="15"/>
            </w:pPr>
            <w:r>
              <w:t>维修质量</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维修时限</w:t>
            </w:r>
          </w:p>
        </w:tc>
        <w:tc>
          <w:tcPr>
            <w:tcW w:w="2891" w:type="dxa"/>
            <w:vAlign w:val="center"/>
          </w:tcPr>
          <w:p>
            <w:pPr>
              <w:pStyle w:val="15"/>
            </w:pPr>
            <w:r>
              <w:t>及时修剪、浇水</w:t>
            </w:r>
          </w:p>
        </w:tc>
        <w:tc>
          <w:tcPr>
            <w:tcW w:w="1276" w:type="dxa"/>
            <w:vAlign w:val="center"/>
          </w:tcPr>
          <w:p>
            <w:pPr>
              <w:pStyle w:val="15"/>
            </w:pPr>
            <w:r>
              <w:t>≤15天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月养护费</w:t>
            </w:r>
          </w:p>
        </w:tc>
        <w:tc>
          <w:tcPr>
            <w:tcW w:w="2891" w:type="dxa"/>
            <w:vAlign w:val="center"/>
          </w:tcPr>
          <w:p>
            <w:pPr>
              <w:pStyle w:val="15"/>
            </w:pPr>
            <w:r>
              <w:t>潮白河带状公园月养护费</w:t>
            </w:r>
          </w:p>
        </w:tc>
        <w:tc>
          <w:tcPr>
            <w:tcW w:w="1276" w:type="dxa"/>
            <w:vAlign w:val="center"/>
          </w:tcPr>
          <w:p>
            <w:pPr>
              <w:pStyle w:val="15"/>
            </w:pPr>
            <w:r>
              <w:t>≤78万元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提升城市绿化水平，改善居民生活环境</w:t>
            </w:r>
          </w:p>
        </w:tc>
        <w:tc>
          <w:tcPr>
            <w:tcW w:w="2891" w:type="dxa"/>
            <w:vAlign w:val="center"/>
          </w:tcPr>
          <w:p>
            <w:pPr>
              <w:pStyle w:val="15"/>
            </w:pPr>
            <w:r>
              <w:t>提升城市绿化水平，改善居民生活环境</w:t>
            </w:r>
          </w:p>
        </w:tc>
        <w:tc>
          <w:tcPr>
            <w:tcW w:w="1276" w:type="dxa"/>
            <w:vAlign w:val="center"/>
          </w:tcPr>
          <w:p>
            <w:pPr>
              <w:pStyle w:val="15"/>
            </w:pPr>
            <w:r>
              <w:t>提升城市绿化水平，改善居民生活环境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居民满意度</w:t>
            </w:r>
          </w:p>
        </w:tc>
        <w:tc>
          <w:tcPr>
            <w:tcW w:w="2891" w:type="dxa"/>
            <w:vAlign w:val="center"/>
          </w:tcPr>
          <w:p>
            <w:pPr>
              <w:pStyle w:val="15"/>
            </w:pPr>
            <w:r>
              <w:t>居民满意度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8.城市绿化管理费绩效目标表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1.通过对高新区内道路绿化和公园养护确保燕郊公园整洁、植物生长改善城市环境。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作业人员</w:t>
            </w:r>
          </w:p>
        </w:tc>
        <w:tc>
          <w:tcPr>
            <w:tcW w:w="2891" w:type="dxa"/>
            <w:vAlign w:val="center"/>
          </w:tcPr>
          <w:p>
            <w:pPr>
              <w:pStyle w:val="15"/>
            </w:pPr>
            <w:r>
              <w:t>每日作业人数不低于50人</w:t>
            </w:r>
          </w:p>
        </w:tc>
        <w:tc>
          <w:tcPr>
            <w:tcW w:w="1276" w:type="dxa"/>
            <w:vAlign w:val="center"/>
          </w:tcPr>
          <w:p>
            <w:pPr>
              <w:pStyle w:val="15"/>
            </w:pPr>
            <w:r>
              <w:t>≥50人</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设施运行率</w:t>
            </w:r>
          </w:p>
        </w:tc>
        <w:tc>
          <w:tcPr>
            <w:tcW w:w="2891" w:type="dxa"/>
            <w:vAlign w:val="center"/>
          </w:tcPr>
          <w:p>
            <w:pPr>
              <w:pStyle w:val="15"/>
            </w:pPr>
            <w:r>
              <w:t>维修质量</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维修时限</w:t>
            </w:r>
          </w:p>
        </w:tc>
        <w:tc>
          <w:tcPr>
            <w:tcW w:w="2891" w:type="dxa"/>
            <w:vAlign w:val="center"/>
          </w:tcPr>
          <w:p>
            <w:pPr>
              <w:pStyle w:val="15"/>
            </w:pPr>
            <w:r>
              <w:t>及时修剪、浇水</w:t>
            </w:r>
          </w:p>
        </w:tc>
        <w:tc>
          <w:tcPr>
            <w:tcW w:w="1276" w:type="dxa"/>
            <w:vAlign w:val="center"/>
          </w:tcPr>
          <w:p>
            <w:pPr>
              <w:pStyle w:val="15"/>
            </w:pPr>
            <w:r>
              <w:t>≤15天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月养护费</w:t>
            </w:r>
          </w:p>
        </w:tc>
        <w:tc>
          <w:tcPr>
            <w:tcW w:w="2891" w:type="dxa"/>
            <w:vAlign w:val="center"/>
          </w:tcPr>
          <w:p>
            <w:pPr>
              <w:pStyle w:val="15"/>
            </w:pPr>
            <w:r>
              <w:t>潮白河带状公园月养护费</w:t>
            </w:r>
          </w:p>
        </w:tc>
        <w:tc>
          <w:tcPr>
            <w:tcW w:w="1276" w:type="dxa"/>
            <w:vAlign w:val="center"/>
          </w:tcPr>
          <w:p>
            <w:pPr>
              <w:pStyle w:val="15"/>
            </w:pPr>
            <w:r>
              <w:t>≤78万元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提升城市绿化水平，改善居民生活环境</w:t>
            </w:r>
          </w:p>
        </w:tc>
        <w:tc>
          <w:tcPr>
            <w:tcW w:w="2891" w:type="dxa"/>
            <w:vAlign w:val="center"/>
          </w:tcPr>
          <w:p>
            <w:pPr>
              <w:pStyle w:val="15"/>
            </w:pPr>
            <w:r>
              <w:t>提升城市绿化水平，改善居民生活环境</w:t>
            </w:r>
          </w:p>
        </w:tc>
        <w:tc>
          <w:tcPr>
            <w:tcW w:w="1276" w:type="dxa"/>
            <w:vAlign w:val="center"/>
          </w:tcPr>
          <w:p>
            <w:pPr>
              <w:pStyle w:val="15"/>
            </w:pPr>
            <w:r>
              <w:t>提升城市绿化水平，改善居民生活环境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居民满意度</w:t>
            </w:r>
          </w:p>
        </w:tc>
        <w:tc>
          <w:tcPr>
            <w:tcW w:w="2891" w:type="dxa"/>
            <w:vAlign w:val="center"/>
          </w:tcPr>
          <w:p>
            <w:pPr>
              <w:pStyle w:val="15"/>
            </w:pPr>
            <w:r>
              <w:t>居民满意度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9.城市绿化管理费（基金）绩效目标表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1.通过对高新区区内道路绿化和公园养护确保燕郊公园整洁、植物生长，改善城市环境。</w:t>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作业人员</w:t>
            </w:r>
          </w:p>
        </w:tc>
        <w:tc>
          <w:tcPr>
            <w:tcW w:w="2891" w:type="dxa"/>
            <w:vAlign w:val="center"/>
          </w:tcPr>
          <w:p>
            <w:pPr>
              <w:pStyle w:val="15"/>
            </w:pPr>
            <w:r>
              <w:t>考勤管理</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设施运行率</w:t>
            </w:r>
          </w:p>
        </w:tc>
        <w:tc>
          <w:tcPr>
            <w:tcW w:w="2891" w:type="dxa"/>
            <w:vAlign w:val="center"/>
          </w:tcPr>
          <w:p>
            <w:pPr>
              <w:pStyle w:val="15"/>
            </w:pPr>
            <w:r>
              <w:t>维修质量</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维修时限</w:t>
            </w:r>
          </w:p>
        </w:tc>
        <w:tc>
          <w:tcPr>
            <w:tcW w:w="2891" w:type="dxa"/>
            <w:vAlign w:val="center"/>
          </w:tcPr>
          <w:p>
            <w:pPr>
              <w:pStyle w:val="15"/>
            </w:pPr>
            <w:r>
              <w:t>及时修剪、浇水</w:t>
            </w:r>
          </w:p>
        </w:tc>
        <w:tc>
          <w:tcPr>
            <w:tcW w:w="1276" w:type="dxa"/>
            <w:vAlign w:val="center"/>
          </w:tcPr>
          <w:p>
            <w:pPr>
              <w:pStyle w:val="15"/>
            </w:pPr>
            <w:r>
              <w:t>12月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月养护费</w:t>
            </w:r>
          </w:p>
        </w:tc>
        <w:tc>
          <w:tcPr>
            <w:tcW w:w="2891" w:type="dxa"/>
            <w:vAlign w:val="center"/>
          </w:tcPr>
          <w:p>
            <w:pPr>
              <w:pStyle w:val="15"/>
            </w:pPr>
            <w:r>
              <w:t>道路二标段月养护费</w:t>
            </w:r>
          </w:p>
        </w:tc>
        <w:tc>
          <w:tcPr>
            <w:tcW w:w="1276" w:type="dxa"/>
            <w:vAlign w:val="center"/>
          </w:tcPr>
          <w:p>
            <w:pPr>
              <w:pStyle w:val="15"/>
            </w:pPr>
            <w:r>
              <w:t>≤134万元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提升城市绿化水平，改善居民生活环境。</w:t>
            </w:r>
          </w:p>
        </w:tc>
        <w:tc>
          <w:tcPr>
            <w:tcW w:w="2891" w:type="dxa"/>
            <w:vAlign w:val="center"/>
          </w:tcPr>
          <w:p>
            <w:pPr>
              <w:pStyle w:val="15"/>
            </w:pPr>
            <w:r>
              <w:t>提升城市绿化水平，改善居民生活环境。</w:t>
            </w:r>
          </w:p>
        </w:tc>
        <w:tc>
          <w:tcPr>
            <w:tcW w:w="1276" w:type="dxa"/>
            <w:vAlign w:val="center"/>
          </w:tcPr>
          <w:p>
            <w:pPr>
              <w:pStyle w:val="15"/>
            </w:pPr>
            <w:r>
              <w:t>提升城市绿化水平，改善居民生活环境。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居民满意度</w:t>
            </w:r>
          </w:p>
        </w:tc>
        <w:tc>
          <w:tcPr>
            <w:tcW w:w="2891" w:type="dxa"/>
            <w:vAlign w:val="center"/>
          </w:tcPr>
          <w:p>
            <w:pPr>
              <w:pStyle w:val="15"/>
            </w:pPr>
            <w:r>
              <w:t>居民满意度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10.城市容貌环境综合治理绩效目标表</w:t>
      </w:r>
      <w:bookmarkEnd w:id="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1.通过城市管理及日常巡查工作，对队员统一培训；负责法律、法规宣传教育，</w:t>
            </w:r>
            <w:r>
              <w:rPr>
                <w:rFonts w:hint="eastAsia"/>
                <w:lang w:eastAsia="zh-CN"/>
              </w:rPr>
              <w:t>对办公楼进行日常维护</w:t>
            </w:r>
            <w:r>
              <w:t>，确保城市管理工作正常开展。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综合治理区域数</w:t>
            </w:r>
          </w:p>
        </w:tc>
        <w:tc>
          <w:tcPr>
            <w:tcW w:w="2891" w:type="dxa"/>
            <w:vAlign w:val="center"/>
          </w:tcPr>
          <w:p>
            <w:pPr>
              <w:pStyle w:val="15"/>
            </w:pPr>
            <w:r>
              <w:t>违章建筑拆除数量</w:t>
            </w:r>
          </w:p>
        </w:tc>
        <w:tc>
          <w:tcPr>
            <w:tcW w:w="1276" w:type="dxa"/>
            <w:vAlign w:val="center"/>
          </w:tcPr>
          <w:p>
            <w:pPr>
              <w:pStyle w:val="15"/>
            </w:pPr>
            <w:r>
              <w:t>≥10次</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违章建筑拆除</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工作完成及时性</w:t>
            </w:r>
          </w:p>
        </w:tc>
        <w:tc>
          <w:tcPr>
            <w:tcW w:w="2891" w:type="dxa"/>
            <w:vAlign w:val="center"/>
          </w:tcPr>
          <w:p>
            <w:pPr>
              <w:pStyle w:val="15"/>
            </w:pPr>
            <w:r>
              <w:t>接到群众举报</w:t>
            </w:r>
          </w:p>
        </w:tc>
        <w:tc>
          <w:tcPr>
            <w:tcW w:w="1276" w:type="dxa"/>
            <w:vAlign w:val="center"/>
          </w:tcPr>
          <w:p>
            <w:pPr>
              <w:pStyle w:val="15"/>
            </w:pPr>
            <w:r>
              <w:t>12月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每平米运营支出</w:t>
            </w:r>
          </w:p>
        </w:tc>
        <w:tc>
          <w:tcPr>
            <w:tcW w:w="1276" w:type="dxa"/>
            <w:vAlign w:val="center"/>
          </w:tcPr>
          <w:p>
            <w:pPr>
              <w:pStyle w:val="15"/>
            </w:pPr>
            <w:r>
              <w:t>≤3500元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rPr>
                <w:rFonts w:hint="eastAsia" w:eastAsia="方正书宋_GBK"/>
                <w:lang w:eastAsia="zh-CN"/>
              </w:rPr>
            </w:pPr>
            <w:r>
              <w:rPr>
                <w:rFonts w:hint="eastAsia"/>
                <w:lang w:eastAsia="zh-CN"/>
              </w:rPr>
              <w:t>治理水平有所提升</w:t>
            </w:r>
          </w:p>
        </w:tc>
        <w:tc>
          <w:tcPr>
            <w:tcW w:w="2891" w:type="dxa"/>
            <w:vAlign w:val="center"/>
          </w:tcPr>
          <w:p>
            <w:pPr>
              <w:pStyle w:val="15"/>
            </w:pPr>
            <w:r>
              <w:t>保障开发区发展的实现</w:t>
            </w:r>
          </w:p>
        </w:tc>
        <w:tc>
          <w:tcPr>
            <w:tcW w:w="1276" w:type="dxa"/>
            <w:vAlign w:val="center"/>
          </w:tcPr>
          <w:p>
            <w:pPr>
              <w:pStyle w:val="15"/>
            </w:pPr>
            <w:r>
              <w:t>明显提升</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提供良好的履职服务，提升城市整体环境面貌</w:t>
            </w:r>
          </w:p>
        </w:tc>
        <w:tc>
          <w:tcPr>
            <w:tcW w:w="2891" w:type="dxa"/>
            <w:vAlign w:val="center"/>
          </w:tcPr>
          <w:p>
            <w:pPr>
              <w:pStyle w:val="15"/>
            </w:pPr>
            <w:r>
              <w:t>通过项目实施，提高服务能力。</w:t>
            </w:r>
          </w:p>
        </w:tc>
        <w:tc>
          <w:tcPr>
            <w:tcW w:w="1276" w:type="dxa"/>
            <w:vAlign w:val="center"/>
          </w:tcPr>
          <w:p>
            <w:pPr>
              <w:pStyle w:val="15"/>
            </w:pPr>
            <w:r>
              <w:t>明显改善</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单位职工满意度</w:t>
            </w:r>
          </w:p>
        </w:tc>
        <w:tc>
          <w:tcPr>
            <w:tcW w:w="2891" w:type="dxa"/>
            <w:vAlign w:val="center"/>
          </w:tcPr>
          <w:p>
            <w:pPr>
              <w:pStyle w:val="15"/>
            </w:pPr>
            <w:r>
              <w:t>对单位职工调查获得满意度调查表</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11.妇女联合会专项经费绩效目标表</w:t>
      </w:r>
      <w:bookmarkEnd w:id="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1.通过开展妇女检查大大提高妇女权益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参与体检人数</w:t>
            </w:r>
          </w:p>
        </w:tc>
        <w:tc>
          <w:tcPr>
            <w:tcW w:w="2891" w:type="dxa"/>
            <w:vAlign w:val="center"/>
          </w:tcPr>
          <w:p>
            <w:pPr>
              <w:pStyle w:val="15"/>
            </w:pPr>
            <w:r>
              <w:t>完成区机关内所有女性职工两癌筛查</w:t>
            </w:r>
          </w:p>
        </w:tc>
        <w:tc>
          <w:tcPr>
            <w:tcW w:w="1276" w:type="dxa"/>
            <w:vAlign w:val="center"/>
          </w:tcPr>
          <w:p>
            <w:pPr>
              <w:pStyle w:val="15"/>
            </w:pPr>
            <w:r>
              <w:t>≥200人</w:t>
            </w:r>
          </w:p>
        </w:tc>
        <w:tc>
          <w:tcPr>
            <w:tcW w:w="1843" w:type="dxa"/>
            <w:vAlign w:val="center"/>
          </w:tcPr>
          <w:p>
            <w:pPr>
              <w:pStyle w:val="15"/>
            </w:pPr>
            <w:r>
              <w:t>开展机关内部和非公企业妇联工作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培训满意度</w:t>
            </w:r>
          </w:p>
        </w:tc>
        <w:tc>
          <w:tcPr>
            <w:tcW w:w="2891" w:type="dxa"/>
            <w:vAlign w:val="center"/>
          </w:tcPr>
          <w:p>
            <w:pPr>
              <w:pStyle w:val="15"/>
            </w:pPr>
            <w:r>
              <w:t>参与培训人员问卷调查</w:t>
            </w:r>
          </w:p>
        </w:tc>
        <w:tc>
          <w:tcPr>
            <w:tcW w:w="1276" w:type="dxa"/>
            <w:vAlign w:val="center"/>
          </w:tcPr>
          <w:p>
            <w:pPr>
              <w:pStyle w:val="15"/>
            </w:pPr>
            <w:r>
              <w:t>≥90％</w:t>
            </w:r>
          </w:p>
        </w:tc>
        <w:tc>
          <w:tcPr>
            <w:tcW w:w="1843" w:type="dxa"/>
            <w:vAlign w:val="center"/>
          </w:tcPr>
          <w:p>
            <w:pPr>
              <w:pStyle w:val="15"/>
            </w:pPr>
            <w:r>
              <w:t>开展机关内部和非公企业妇联工作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完成时间</w:t>
            </w:r>
          </w:p>
        </w:tc>
        <w:tc>
          <w:tcPr>
            <w:tcW w:w="2891" w:type="dxa"/>
            <w:vAlign w:val="center"/>
          </w:tcPr>
          <w:p>
            <w:pPr>
              <w:pStyle w:val="15"/>
            </w:pPr>
            <w:r>
              <w:t>完成两癌筛查时间</w:t>
            </w:r>
          </w:p>
        </w:tc>
        <w:tc>
          <w:tcPr>
            <w:tcW w:w="1276" w:type="dxa"/>
            <w:vAlign w:val="center"/>
          </w:tcPr>
          <w:p>
            <w:pPr>
              <w:pStyle w:val="15"/>
            </w:pPr>
            <w:r>
              <w:t>≤3月</w:t>
            </w:r>
          </w:p>
        </w:tc>
        <w:tc>
          <w:tcPr>
            <w:tcW w:w="1843" w:type="dxa"/>
            <w:vAlign w:val="center"/>
          </w:tcPr>
          <w:p>
            <w:pPr>
              <w:pStyle w:val="15"/>
            </w:pPr>
            <w:r>
              <w:t>开展机关内部和非公企业妇联工作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成本控制数</w:t>
            </w:r>
          </w:p>
        </w:tc>
        <w:tc>
          <w:tcPr>
            <w:tcW w:w="2891" w:type="dxa"/>
            <w:vAlign w:val="center"/>
          </w:tcPr>
          <w:p>
            <w:pPr>
              <w:pStyle w:val="15"/>
            </w:pPr>
            <w:r>
              <w:t>单位成本在预算控制范围内</w:t>
            </w:r>
          </w:p>
        </w:tc>
        <w:tc>
          <w:tcPr>
            <w:tcW w:w="1276" w:type="dxa"/>
            <w:vAlign w:val="center"/>
          </w:tcPr>
          <w:p>
            <w:pPr>
              <w:pStyle w:val="15"/>
            </w:pPr>
            <w:r>
              <w:t>≤700元/人</w:t>
            </w:r>
          </w:p>
        </w:tc>
        <w:tc>
          <w:tcPr>
            <w:tcW w:w="1843" w:type="dxa"/>
            <w:vAlign w:val="center"/>
          </w:tcPr>
          <w:p>
            <w:pPr>
              <w:pStyle w:val="15"/>
            </w:pPr>
            <w:r>
              <w:t>医疗机构定价单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加强妇女工作建设</w:t>
            </w:r>
          </w:p>
        </w:tc>
        <w:tc>
          <w:tcPr>
            <w:tcW w:w="2891" w:type="dxa"/>
            <w:vAlign w:val="center"/>
          </w:tcPr>
          <w:p>
            <w:pPr>
              <w:pStyle w:val="15"/>
            </w:pPr>
            <w:r>
              <w:t>促进企业提高效益，加快发展增强企业凝聚力</w:t>
            </w:r>
          </w:p>
        </w:tc>
        <w:tc>
          <w:tcPr>
            <w:tcW w:w="1276" w:type="dxa"/>
            <w:vAlign w:val="center"/>
          </w:tcPr>
          <w:p>
            <w:pPr>
              <w:pStyle w:val="15"/>
            </w:pPr>
            <w:r>
              <w:t>≥90增强凝聚力</w:t>
            </w:r>
          </w:p>
        </w:tc>
        <w:tc>
          <w:tcPr>
            <w:tcW w:w="1843" w:type="dxa"/>
            <w:vAlign w:val="center"/>
          </w:tcPr>
          <w:p>
            <w:pPr>
              <w:pStyle w:val="15"/>
            </w:pPr>
            <w:r>
              <w:t>开展机关内部和非公企业妇联工作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问卷调查满意度</w:t>
            </w:r>
          </w:p>
        </w:tc>
        <w:tc>
          <w:tcPr>
            <w:tcW w:w="2891" w:type="dxa"/>
            <w:vAlign w:val="center"/>
          </w:tcPr>
          <w:p>
            <w:pPr>
              <w:pStyle w:val="15"/>
            </w:pPr>
            <w:r>
              <w:t>参与妇联活动人员调查满意度</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5"/>
      <w:r>
        <w:rPr>
          <w:rFonts w:ascii="方正仿宋_GBK" w:hAnsi="方正仿宋_GBK" w:eastAsia="方正仿宋_GBK" w:cs="方正仿宋_GBK"/>
          <w:color w:val="000000"/>
          <w:sz w:val="28"/>
        </w:rPr>
        <w:t>12.高新区不可预见处置费绩效目标表</w:t>
      </w:r>
      <w:bookmarkEnd w:id="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1.通过及时有效处理高新区城市、社会管理、招商、维稳方面问题确保园区社会和谐稳定发展。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突发事件处置数</w:t>
            </w:r>
          </w:p>
        </w:tc>
        <w:tc>
          <w:tcPr>
            <w:tcW w:w="2891" w:type="dxa"/>
            <w:vAlign w:val="center"/>
          </w:tcPr>
          <w:p>
            <w:pPr>
              <w:pStyle w:val="15"/>
            </w:pPr>
            <w:r>
              <w:t>处置完成突发事件数量占突发事件数量的件数</w:t>
            </w:r>
          </w:p>
        </w:tc>
        <w:tc>
          <w:tcPr>
            <w:tcW w:w="1276" w:type="dxa"/>
            <w:vAlign w:val="center"/>
          </w:tcPr>
          <w:p>
            <w:pPr>
              <w:pStyle w:val="15"/>
            </w:pPr>
            <w:r>
              <w:t>≥5件</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突发事件处置率</w:t>
            </w:r>
          </w:p>
        </w:tc>
        <w:tc>
          <w:tcPr>
            <w:tcW w:w="2891" w:type="dxa"/>
            <w:vAlign w:val="center"/>
          </w:tcPr>
          <w:p>
            <w:pPr>
              <w:pStyle w:val="15"/>
            </w:pPr>
            <w:r>
              <w:t>处置完成突发事件数量占突发事件数量的比率</w:t>
            </w:r>
          </w:p>
        </w:tc>
        <w:tc>
          <w:tcPr>
            <w:tcW w:w="1276" w:type="dxa"/>
            <w:vAlign w:val="center"/>
          </w:tcPr>
          <w:p>
            <w:pPr>
              <w:pStyle w:val="15"/>
            </w:pPr>
            <w:r>
              <w:t>≥90%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综合事务管理工作完成及时性</w:t>
            </w:r>
          </w:p>
        </w:tc>
        <w:tc>
          <w:tcPr>
            <w:tcW w:w="2891" w:type="dxa"/>
            <w:vAlign w:val="center"/>
          </w:tcPr>
          <w:p>
            <w:pPr>
              <w:pStyle w:val="15"/>
            </w:pPr>
            <w:r>
              <w:t>综合事务管理工作完成情况</w:t>
            </w:r>
          </w:p>
        </w:tc>
        <w:tc>
          <w:tcPr>
            <w:tcW w:w="1276" w:type="dxa"/>
            <w:vAlign w:val="center"/>
          </w:tcPr>
          <w:p>
            <w:pPr>
              <w:pStyle w:val="15"/>
            </w:pPr>
            <w:r>
              <w:t>≥90%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单次成本控制在预算范围内</w:t>
            </w:r>
          </w:p>
        </w:tc>
        <w:tc>
          <w:tcPr>
            <w:tcW w:w="1276" w:type="dxa"/>
            <w:vAlign w:val="center"/>
          </w:tcPr>
          <w:p>
            <w:pPr>
              <w:pStyle w:val="15"/>
            </w:pPr>
            <w:r>
              <w:t>≤50万元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重大舆情监测覆盖</w:t>
            </w:r>
          </w:p>
        </w:tc>
        <w:tc>
          <w:tcPr>
            <w:tcW w:w="2891" w:type="dxa"/>
            <w:vAlign w:val="center"/>
          </w:tcPr>
          <w:p>
            <w:pPr>
              <w:pStyle w:val="15"/>
            </w:pPr>
            <w:r>
              <w:t>重大舆情监测覆盖范围</w:t>
            </w:r>
          </w:p>
        </w:tc>
        <w:tc>
          <w:tcPr>
            <w:tcW w:w="1276" w:type="dxa"/>
            <w:vAlign w:val="center"/>
          </w:tcPr>
          <w:p>
            <w:pPr>
              <w:pStyle w:val="15"/>
            </w:pPr>
            <w:r>
              <w:t>高新区全区</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6"/>
      <w:r>
        <w:rPr>
          <w:rFonts w:ascii="方正仿宋_GBK" w:hAnsi="方正仿宋_GBK" w:eastAsia="方正仿宋_GBK" w:cs="方正仿宋_GBK"/>
          <w:color w:val="000000"/>
          <w:sz w:val="28"/>
        </w:rPr>
        <w:t>13.规划服务运行经费绩效目标表</w:t>
      </w:r>
      <w:bookmarkEnd w:id="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1.通过项目的开展实现各项工作验收质量达标，保障工作质量的实现，对全省宣传文化事业发展的促进起到推动作用，保障各项工作顺利开展。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检查频次</w:t>
            </w:r>
          </w:p>
        </w:tc>
        <w:tc>
          <w:tcPr>
            <w:tcW w:w="2891" w:type="dxa"/>
            <w:vAlign w:val="center"/>
          </w:tcPr>
          <w:p>
            <w:pPr>
              <w:pStyle w:val="15"/>
            </w:pPr>
            <w:r>
              <w:t>反映监督检查的频次情况</w:t>
            </w:r>
          </w:p>
        </w:tc>
        <w:tc>
          <w:tcPr>
            <w:tcW w:w="1276" w:type="dxa"/>
            <w:vAlign w:val="center"/>
          </w:tcPr>
          <w:p>
            <w:pPr>
              <w:pStyle w:val="15"/>
            </w:pPr>
            <w:r>
              <w:t>3次</w:t>
            </w:r>
          </w:p>
        </w:tc>
        <w:tc>
          <w:tcPr>
            <w:tcW w:w="1843" w:type="dxa"/>
            <w:vAlign w:val="center"/>
          </w:tcPr>
          <w:p>
            <w:pPr>
              <w:pStyle w:val="15"/>
            </w:pPr>
            <w:r>
              <w:t>督导检查单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工作质量</w:t>
            </w:r>
          </w:p>
        </w:tc>
        <w:tc>
          <w:tcPr>
            <w:tcW w:w="2891" w:type="dxa"/>
            <w:vAlign w:val="center"/>
          </w:tcPr>
          <w:p>
            <w:pPr>
              <w:pStyle w:val="15"/>
            </w:pPr>
            <w:r>
              <w:t>抽检覆盖率</w:t>
            </w:r>
          </w:p>
        </w:tc>
        <w:tc>
          <w:tcPr>
            <w:tcW w:w="1276" w:type="dxa"/>
            <w:vAlign w:val="center"/>
          </w:tcPr>
          <w:p>
            <w:pPr>
              <w:pStyle w:val="15"/>
            </w:pPr>
            <w:r>
              <w:t>≥5%</w:t>
            </w:r>
          </w:p>
        </w:tc>
        <w:tc>
          <w:tcPr>
            <w:tcW w:w="1843" w:type="dxa"/>
            <w:vAlign w:val="center"/>
          </w:tcPr>
          <w:p>
            <w:pPr>
              <w:pStyle w:val="15"/>
            </w:pPr>
            <w:r>
              <w:t>材料抽检单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系统故障修复处理时间</w:t>
            </w:r>
          </w:p>
        </w:tc>
        <w:tc>
          <w:tcPr>
            <w:tcW w:w="2891" w:type="dxa"/>
            <w:vAlign w:val="center"/>
          </w:tcPr>
          <w:p>
            <w:pPr>
              <w:pStyle w:val="15"/>
            </w:pPr>
            <w:r>
              <w:t>反应系统故障修复平均处理时间</w:t>
            </w:r>
          </w:p>
        </w:tc>
        <w:tc>
          <w:tcPr>
            <w:tcW w:w="1276" w:type="dxa"/>
            <w:vAlign w:val="center"/>
          </w:tcPr>
          <w:p>
            <w:pPr>
              <w:pStyle w:val="15"/>
            </w:pPr>
            <w:r>
              <w:t>≤24小时</w:t>
            </w:r>
          </w:p>
        </w:tc>
        <w:tc>
          <w:tcPr>
            <w:tcW w:w="1843" w:type="dxa"/>
            <w:vAlign w:val="center"/>
          </w:tcPr>
          <w:p>
            <w:pPr>
              <w:pStyle w:val="15"/>
            </w:pPr>
            <w:r>
              <w:t>故障处置单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专家评审费单位成本控制在预算额度内</w:t>
            </w:r>
          </w:p>
        </w:tc>
        <w:tc>
          <w:tcPr>
            <w:tcW w:w="1276" w:type="dxa"/>
            <w:vAlign w:val="center"/>
          </w:tcPr>
          <w:p>
            <w:pPr>
              <w:pStyle w:val="15"/>
            </w:pPr>
            <w:r>
              <w:t>≤5万元/次</w:t>
            </w:r>
          </w:p>
        </w:tc>
        <w:tc>
          <w:tcPr>
            <w:tcW w:w="1843" w:type="dxa"/>
            <w:vAlign w:val="center"/>
          </w:tcPr>
          <w:p>
            <w:pPr>
              <w:pStyle w:val="15"/>
            </w:pPr>
            <w:r>
              <w:t>拨款单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社会稳定水平</w:t>
            </w:r>
          </w:p>
        </w:tc>
        <w:tc>
          <w:tcPr>
            <w:tcW w:w="1276" w:type="dxa"/>
            <w:vAlign w:val="center"/>
          </w:tcPr>
          <w:p>
            <w:pPr>
              <w:pStyle w:val="15"/>
            </w:pPr>
            <w:r>
              <w:t>显著提高</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服务人员满意度</w:t>
            </w:r>
          </w:p>
        </w:tc>
        <w:tc>
          <w:tcPr>
            <w:tcW w:w="2891" w:type="dxa"/>
            <w:vAlign w:val="center"/>
          </w:tcPr>
          <w:p>
            <w:pPr>
              <w:pStyle w:val="15"/>
            </w:pPr>
            <w:r>
              <w:t>服务人员满意度</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7"/>
      <w:r>
        <w:rPr>
          <w:rFonts w:ascii="方正仿宋_GBK" w:hAnsi="方正仿宋_GBK" w:eastAsia="方正仿宋_GBK" w:cs="方正仿宋_GBK"/>
          <w:color w:val="000000"/>
          <w:sz w:val="28"/>
        </w:rPr>
        <w:t>14.环境卫生维护费绩效目标表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1.通过对区内各条道路的清扫提升区内整体环境。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服务范围</w:t>
            </w:r>
          </w:p>
        </w:tc>
        <w:tc>
          <w:tcPr>
            <w:tcW w:w="2891" w:type="dxa"/>
            <w:vAlign w:val="center"/>
          </w:tcPr>
          <w:p>
            <w:pPr>
              <w:pStyle w:val="15"/>
            </w:pPr>
            <w:r>
              <w:t>提供清扫等服务的面积</w:t>
            </w:r>
          </w:p>
        </w:tc>
        <w:tc>
          <w:tcPr>
            <w:tcW w:w="1276" w:type="dxa"/>
            <w:vAlign w:val="center"/>
          </w:tcPr>
          <w:p>
            <w:pPr>
              <w:pStyle w:val="15"/>
            </w:pPr>
            <w:r>
              <w:t>≥105平方公里</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服务质量验收合格率</w:t>
            </w:r>
          </w:p>
        </w:tc>
        <w:tc>
          <w:tcPr>
            <w:tcW w:w="2891" w:type="dxa"/>
            <w:vAlign w:val="center"/>
          </w:tcPr>
          <w:p>
            <w:pPr>
              <w:pStyle w:val="15"/>
            </w:pPr>
            <w:r>
              <w:t>项目竣工验收合格数量占工程量的百分比</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服务期限</w:t>
            </w:r>
          </w:p>
        </w:tc>
        <w:tc>
          <w:tcPr>
            <w:tcW w:w="2891" w:type="dxa"/>
            <w:vAlign w:val="center"/>
          </w:tcPr>
          <w:p>
            <w:pPr>
              <w:pStyle w:val="15"/>
            </w:pPr>
            <w:r>
              <w:t>提供清扫等服务的时间</w:t>
            </w:r>
          </w:p>
        </w:tc>
        <w:tc>
          <w:tcPr>
            <w:tcW w:w="1276" w:type="dxa"/>
            <w:vAlign w:val="center"/>
          </w:tcPr>
          <w:p>
            <w:pPr>
              <w:pStyle w:val="15"/>
            </w:pPr>
            <w:r>
              <w:t>12月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成本控制数</w:t>
            </w:r>
          </w:p>
        </w:tc>
        <w:tc>
          <w:tcPr>
            <w:tcW w:w="2891" w:type="dxa"/>
            <w:vAlign w:val="center"/>
          </w:tcPr>
          <w:p>
            <w:pPr>
              <w:pStyle w:val="15"/>
            </w:pPr>
            <w:r>
              <w:t>每平方米清扫费</w:t>
            </w:r>
          </w:p>
        </w:tc>
        <w:tc>
          <w:tcPr>
            <w:tcW w:w="1276" w:type="dxa"/>
            <w:vAlign w:val="center"/>
          </w:tcPr>
          <w:p>
            <w:pPr>
              <w:pStyle w:val="15"/>
            </w:pPr>
            <w:r>
              <w:t>≤15元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提供良好履职服务，提升城市环卫水平</w:t>
            </w:r>
          </w:p>
        </w:tc>
        <w:tc>
          <w:tcPr>
            <w:tcW w:w="2891" w:type="dxa"/>
            <w:vAlign w:val="center"/>
          </w:tcPr>
          <w:p>
            <w:pPr>
              <w:pStyle w:val="15"/>
            </w:pPr>
            <w:r>
              <w:t>通过项目实施，提高服务能力。</w:t>
            </w:r>
          </w:p>
        </w:tc>
        <w:tc>
          <w:tcPr>
            <w:tcW w:w="1276" w:type="dxa"/>
            <w:vAlign w:val="center"/>
          </w:tcPr>
          <w:p>
            <w:pPr>
              <w:pStyle w:val="15"/>
            </w:pPr>
            <w:r>
              <w:t>通过清扫服务明显改善城市环境，促进社会稳定</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城区市民满意度</w:t>
            </w:r>
          </w:p>
        </w:tc>
        <w:tc>
          <w:tcPr>
            <w:tcW w:w="2891" w:type="dxa"/>
            <w:vAlign w:val="center"/>
          </w:tcPr>
          <w:p>
            <w:pPr>
              <w:pStyle w:val="15"/>
            </w:pPr>
            <w:r>
              <w:t>对附近居民调查获得满意度调查表</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8"/>
      <w:r>
        <w:rPr>
          <w:rFonts w:ascii="方正仿宋_GBK" w:hAnsi="方正仿宋_GBK" w:eastAsia="方正仿宋_GBK" w:cs="方正仿宋_GBK"/>
          <w:color w:val="000000"/>
          <w:sz w:val="28"/>
        </w:rPr>
        <w:t>15.环境卫生维护费绩效目标表</w:t>
      </w:r>
      <w:bookmarkEnd w:id="1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1.通过对区内各条道路的清扫提升区内整体环境。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服务范围</w:t>
            </w:r>
          </w:p>
        </w:tc>
        <w:tc>
          <w:tcPr>
            <w:tcW w:w="2891" w:type="dxa"/>
            <w:vAlign w:val="center"/>
          </w:tcPr>
          <w:p>
            <w:pPr>
              <w:pStyle w:val="15"/>
            </w:pPr>
            <w:r>
              <w:t>提供清扫等服务的面积</w:t>
            </w:r>
          </w:p>
        </w:tc>
        <w:tc>
          <w:tcPr>
            <w:tcW w:w="1276" w:type="dxa"/>
            <w:vAlign w:val="center"/>
          </w:tcPr>
          <w:p>
            <w:pPr>
              <w:pStyle w:val="15"/>
            </w:pPr>
            <w:r>
              <w:t>≥105平方公里</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服务质量验收合格率</w:t>
            </w:r>
          </w:p>
        </w:tc>
        <w:tc>
          <w:tcPr>
            <w:tcW w:w="2891" w:type="dxa"/>
            <w:vAlign w:val="center"/>
          </w:tcPr>
          <w:p>
            <w:pPr>
              <w:pStyle w:val="15"/>
            </w:pPr>
            <w:r>
              <w:t>项目竣工验收合格数量占工程量的百分比</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服务期限</w:t>
            </w:r>
          </w:p>
        </w:tc>
        <w:tc>
          <w:tcPr>
            <w:tcW w:w="2891" w:type="dxa"/>
            <w:vAlign w:val="center"/>
          </w:tcPr>
          <w:p>
            <w:pPr>
              <w:pStyle w:val="15"/>
            </w:pPr>
            <w:r>
              <w:t>提供清扫等服务的时间</w:t>
            </w:r>
          </w:p>
        </w:tc>
        <w:tc>
          <w:tcPr>
            <w:tcW w:w="1276" w:type="dxa"/>
            <w:vAlign w:val="center"/>
          </w:tcPr>
          <w:p>
            <w:pPr>
              <w:pStyle w:val="15"/>
            </w:pPr>
            <w:r>
              <w:t>12月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成本控制数</w:t>
            </w:r>
          </w:p>
        </w:tc>
        <w:tc>
          <w:tcPr>
            <w:tcW w:w="2891" w:type="dxa"/>
            <w:vAlign w:val="center"/>
          </w:tcPr>
          <w:p>
            <w:pPr>
              <w:pStyle w:val="15"/>
            </w:pPr>
            <w:r>
              <w:t>每平方米清扫费</w:t>
            </w:r>
          </w:p>
        </w:tc>
        <w:tc>
          <w:tcPr>
            <w:tcW w:w="1276" w:type="dxa"/>
            <w:vAlign w:val="center"/>
          </w:tcPr>
          <w:p>
            <w:pPr>
              <w:pStyle w:val="15"/>
            </w:pPr>
            <w:r>
              <w:t>≤15元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提供良好履职服务，提升城市环卫水平</w:t>
            </w:r>
          </w:p>
        </w:tc>
        <w:tc>
          <w:tcPr>
            <w:tcW w:w="2891" w:type="dxa"/>
            <w:vAlign w:val="center"/>
          </w:tcPr>
          <w:p>
            <w:pPr>
              <w:pStyle w:val="15"/>
            </w:pPr>
            <w:r>
              <w:t>通过项目实施，提高服务能力。</w:t>
            </w:r>
          </w:p>
        </w:tc>
        <w:tc>
          <w:tcPr>
            <w:tcW w:w="1276" w:type="dxa"/>
            <w:vAlign w:val="center"/>
          </w:tcPr>
          <w:p>
            <w:pPr>
              <w:pStyle w:val="15"/>
            </w:pPr>
            <w:r>
              <w:t>通过清扫服务明显改善城市环境，促进社会稳定</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城区市民满意度</w:t>
            </w:r>
          </w:p>
        </w:tc>
        <w:tc>
          <w:tcPr>
            <w:tcW w:w="2891" w:type="dxa"/>
            <w:vAlign w:val="center"/>
          </w:tcPr>
          <w:p>
            <w:pPr>
              <w:pStyle w:val="15"/>
            </w:pPr>
            <w:r>
              <w:t>对附近居民调查获得满意度调查表</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9"/>
      <w:r>
        <w:rPr>
          <w:rFonts w:ascii="方正仿宋_GBK" w:hAnsi="方正仿宋_GBK" w:eastAsia="方正仿宋_GBK" w:cs="方正仿宋_GBK"/>
          <w:color w:val="000000"/>
          <w:sz w:val="28"/>
        </w:rPr>
        <w:t>16.环境卫生维护费(基金）绩效目标表</w:t>
      </w:r>
      <w:bookmarkEnd w:id="1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1.通过对区内各条道路的清扫提升区内整体环境。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服务范围</w:t>
            </w:r>
          </w:p>
        </w:tc>
        <w:tc>
          <w:tcPr>
            <w:tcW w:w="2891" w:type="dxa"/>
            <w:vAlign w:val="center"/>
          </w:tcPr>
          <w:p>
            <w:pPr>
              <w:pStyle w:val="15"/>
            </w:pPr>
            <w:r>
              <w:t>提供清扫等服务的面积</w:t>
            </w:r>
          </w:p>
        </w:tc>
        <w:tc>
          <w:tcPr>
            <w:tcW w:w="1276" w:type="dxa"/>
            <w:vAlign w:val="center"/>
          </w:tcPr>
          <w:p>
            <w:pPr>
              <w:pStyle w:val="15"/>
            </w:pPr>
            <w:r>
              <w:t>≥105平方公里</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服务质量验收合格率</w:t>
            </w:r>
          </w:p>
        </w:tc>
        <w:tc>
          <w:tcPr>
            <w:tcW w:w="2891" w:type="dxa"/>
            <w:vAlign w:val="center"/>
          </w:tcPr>
          <w:p>
            <w:pPr>
              <w:pStyle w:val="15"/>
            </w:pPr>
            <w:r>
              <w:t>项目竣工验收合格数量占工程量的百分比</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服务期限</w:t>
            </w:r>
          </w:p>
        </w:tc>
        <w:tc>
          <w:tcPr>
            <w:tcW w:w="2891" w:type="dxa"/>
            <w:vAlign w:val="center"/>
          </w:tcPr>
          <w:p>
            <w:pPr>
              <w:pStyle w:val="15"/>
            </w:pPr>
            <w:r>
              <w:t>提供清扫等服务的时间</w:t>
            </w:r>
          </w:p>
        </w:tc>
        <w:tc>
          <w:tcPr>
            <w:tcW w:w="1276" w:type="dxa"/>
            <w:vAlign w:val="center"/>
          </w:tcPr>
          <w:p>
            <w:pPr>
              <w:pStyle w:val="15"/>
            </w:pPr>
            <w:r>
              <w:t>12月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成本控制数</w:t>
            </w:r>
          </w:p>
        </w:tc>
        <w:tc>
          <w:tcPr>
            <w:tcW w:w="2891" w:type="dxa"/>
            <w:vAlign w:val="center"/>
          </w:tcPr>
          <w:p>
            <w:pPr>
              <w:pStyle w:val="15"/>
            </w:pPr>
            <w:r>
              <w:t>每平方米清扫费</w:t>
            </w:r>
          </w:p>
        </w:tc>
        <w:tc>
          <w:tcPr>
            <w:tcW w:w="1276" w:type="dxa"/>
            <w:vAlign w:val="center"/>
          </w:tcPr>
          <w:p>
            <w:pPr>
              <w:pStyle w:val="15"/>
            </w:pPr>
            <w:r>
              <w:t>≤15元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提供良好履职服务，提升城市环卫水平</w:t>
            </w:r>
          </w:p>
        </w:tc>
        <w:tc>
          <w:tcPr>
            <w:tcW w:w="2891" w:type="dxa"/>
            <w:vAlign w:val="center"/>
          </w:tcPr>
          <w:p>
            <w:pPr>
              <w:pStyle w:val="15"/>
            </w:pPr>
            <w:r>
              <w:t>通过项目实施，提高服务能力。</w:t>
            </w:r>
          </w:p>
        </w:tc>
        <w:tc>
          <w:tcPr>
            <w:tcW w:w="1276" w:type="dxa"/>
            <w:vAlign w:val="center"/>
          </w:tcPr>
          <w:p>
            <w:pPr>
              <w:pStyle w:val="15"/>
            </w:pPr>
            <w:r>
              <w:t>通过清扫服务明显改善城市环境，促进社会稳定</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城区市民满意度</w:t>
            </w:r>
          </w:p>
        </w:tc>
        <w:tc>
          <w:tcPr>
            <w:tcW w:w="2891" w:type="dxa"/>
            <w:vAlign w:val="center"/>
          </w:tcPr>
          <w:p>
            <w:pPr>
              <w:pStyle w:val="15"/>
            </w:pPr>
            <w:r>
              <w:t>对附近居民调查获得满意度调查表</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0"/>
      <w:r>
        <w:rPr>
          <w:rFonts w:ascii="方正仿宋_GBK" w:hAnsi="方正仿宋_GBK" w:eastAsia="方正仿宋_GBK" w:cs="方正仿宋_GBK"/>
          <w:color w:val="000000"/>
          <w:sz w:val="28"/>
        </w:rPr>
        <w:t>17.机场处专项经费绩效目标表</w:t>
      </w:r>
      <w:bookmarkEnd w:id="1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1.通过项目资金到位确保机场处正常运转。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维护路灯数</w:t>
            </w:r>
          </w:p>
        </w:tc>
        <w:tc>
          <w:tcPr>
            <w:tcW w:w="2891" w:type="dxa"/>
            <w:vAlign w:val="center"/>
          </w:tcPr>
          <w:p>
            <w:pPr>
              <w:pStyle w:val="15"/>
            </w:pPr>
            <w:r>
              <w:t>维护路灯总数量</w:t>
            </w:r>
          </w:p>
        </w:tc>
        <w:tc>
          <w:tcPr>
            <w:tcW w:w="1276" w:type="dxa"/>
            <w:vAlign w:val="center"/>
          </w:tcPr>
          <w:p>
            <w:pPr>
              <w:pStyle w:val="15"/>
            </w:pPr>
            <w:r>
              <w:t>174根</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路灯维护率</w:t>
            </w:r>
          </w:p>
        </w:tc>
        <w:tc>
          <w:tcPr>
            <w:tcW w:w="2891" w:type="dxa"/>
            <w:vAlign w:val="center"/>
          </w:tcPr>
          <w:p>
            <w:pPr>
              <w:pStyle w:val="15"/>
            </w:pPr>
            <w:r>
              <w:t>维护路灯按时完成率</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路灯维修及时性</w:t>
            </w:r>
          </w:p>
        </w:tc>
        <w:tc>
          <w:tcPr>
            <w:tcW w:w="2891" w:type="dxa"/>
            <w:vAlign w:val="center"/>
          </w:tcPr>
          <w:p>
            <w:pPr>
              <w:pStyle w:val="15"/>
            </w:pPr>
            <w:r>
              <w:t>路灯维修及时性</w:t>
            </w:r>
          </w:p>
        </w:tc>
        <w:tc>
          <w:tcPr>
            <w:tcW w:w="1276" w:type="dxa"/>
            <w:vAlign w:val="center"/>
          </w:tcPr>
          <w:p>
            <w:pPr>
              <w:pStyle w:val="15"/>
            </w:pPr>
            <w:r>
              <w:t>≤10天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每平米运营支出</w:t>
            </w:r>
          </w:p>
        </w:tc>
        <w:tc>
          <w:tcPr>
            <w:tcW w:w="1276" w:type="dxa"/>
            <w:vAlign w:val="center"/>
          </w:tcPr>
          <w:p>
            <w:pPr>
              <w:pStyle w:val="15"/>
            </w:pPr>
            <w:r>
              <w:t>≤2000元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经济发展</w:t>
            </w:r>
          </w:p>
        </w:tc>
        <w:tc>
          <w:tcPr>
            <w:tcW w:w="1276" w:type="dxa"/>
            <w:vAlign w:val="center"/>
          </w:tcPr>
          <w:p>
            <w:pPr>
              <w:pStyle w:val="15"/>
            </w:pPr>
            <w:r>
              <w:t>制定招商方案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周边环境整洁度</w:t>
            </w:r>
          </w:p>
        </w:tc>
        <w:tc>
          <w:tcPr>
            <w:tcW w:w="2891" w:type="dxa"/>
            <w:vAlign w:val="center"/>
          </w:tcPr>
          <w:p>
            <w:pPr>
              <w:pStyle w:val="15"/>
            </w:pPr>
            <w:r>
              <w:t>达到预期目标</w:t>
            </w:r>
          </w:p>
        </w:tc>
        <w:tc>
          <w:tcPr>
            <w:tcW w:w="1276" w:type="dxa"/>
            <w:vAlign w:val="center"/>
          </w:tcPr>
          <w:p>
            <w:pPr>
              <w:pStyle w:val="15"/>
            </w:pPr>
            <w:r>
              <w:t>整洁度显著提高</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满意度</w:t>
            </w:r>
          </w:p>
        </w:tc>
        <w:tc>
          <w:tcPr>
            <w:tcW w:w="2891" w:type="dxa"/>
            <w:vAlign w:val="center"/>
          </w:tcPr>
          <w:p>
            <w:pPr>
              <w:pStyle w:val="15"/>
            </w:pPr>
            <w:r>
              <w:t>周围群众满意度占总比</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21"/>
      <w:r>
        <w:rPr>
          <w:rFonts w:ascii="方正仿宋_GBK" w:hAnsi="方正仿宋_GBK" w:eastAsia="方正仿宋_GBK" w:cs="方正仿宋_GBK"/>
          <w:color w:val="000000"/>
          <w:sz w:val="28"/>
        </w:rPr>
        <w:t>18.机关运行经费绩效目标表</w:t>
      </w:r>
      <w:bookmarkEnd w:id="1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1.通过项目的开展，推进了后勤服务保障能力，促进机关和谐发展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保障单位数量</w:t>
            </w:r>
          </w:p>
        </w:tc>
        <w:tc>
          <w:tcPr>
            <w:tcW w:w="2891" w:type="dxa"/>
            <w:vAlign w:val="center"/>
          </w:tcPr>
          <w:p>
            <w:pPr>
              <w:pStyle w:val="15"/>
            </w:pPr>
            <w:r>
              <w:t>反应保障单位数量</w:t>
            </w:r>
          </w:p>
        </w:tc>
        <w:tc>
          <w:tcPr>
            <w:tcW w:w="1276" w:type="dxa"/>
            <w:vAlign w:val="center"/>
          </w:tcPr>
          <w:p>
            <w:pPr>
              <w:pStyle w:val="15"/>
            </w:pPr>
            <w:r>
              <w:t>1个</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工作完成率</w:t>
            </w:r>
          </w:p>
        </w:tc>
        <w:tc>
          <w:tcPr>
            <w:tcW w:w="2891" w:type="dxa"/>
            <w:vAlign w:val="center"/>
          </w:tcPr>
          <w:p>
            <w:pPr>
              <w:pStyle w:val="15"/>
            </w:pPr>
            <w:r>
              <w:t>工作完成率</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日杂物品采买及时性</w:t>
            </w:r>
          </w:p>
        </w:tc>
        <w:tc>
          <w:tcPr>
            <w:tcW w:w="2891" w:type="dxa"/>
            <w:vAlign w:val="center"/>
          </w:tcPr>
          <w:p>
            <w:pPr>
              <w:pStyle w:val="15"/>
            </w:pPr>
            <w:r>
              <w:t>日杂物品采买及时性</w:t>
            </w:r>
          </w:p>
        </w:tc>
        <w:tc>
          <w:tcPr>
            <w:tcW w:w="1276" w:type="dxa"/>
            <w:vAlign w:val="center"/>
          </w:tcPr>
          <w:p>
            <w:pPr>
              <w:pStyle w:val="15"/>
            </w:pPr>
            <w:r>
              <w:t>≤5天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单次成本</w:t>
            </w:r>
          </w:p>
        </w:tc>
        <w:tc>
          <w:tcPr>
            <w:tcW w:w="2891" w:type="dxa"/>
            <w:vAlign w:val="center"/>
          </w:tcPr>
          <w:p>
            <w:pPr>
              <w:pStyle w:val="15"/>
            </w:pPr>
            <w:r>
              <w:t>单次成本控制在预算额度内</w:t>
            </w:r>
          </w:p>
        </w:tc>
        <w:tc>
          <w:tcPr>
            <w:tcW w:w="1276" w:type="dxa"/>
            <w:vAlign w:val="center"/>
          </w:tcPr>
          <w:p>
            <w:pPr>
              <w:pStyle w:val="15"/>
            </w:pPr>
            <w:r>
              <w:t>≤5万元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受服务部门工作效率稳步提升</w:t>
            </w:r>
          </w:p>
        </w:tc>
        <w:tc>
          <w:tcPr>
            <w:tcW w:w="2891" w:type="dxa"/>
            <w:vAlign w:val="center"/>
          </w:tcPr>
          <w:p>
            <w:pPr>
              <w:pStyle w:val="15"/>
            </w:pPr>
            <w:r>
              <w:t>对未来发展研判，吸取新经验，促进工作效率稳步提升</w:t>
            </w:r>
          </w:p>
        </w:tc>
        <w:tc>
          <w:tcPr>
            <w:tcW w:w="1276" w:type="dxa"/>
            <w:vAlign w:val="center"/>
          </w:tcPr>
          <w:p>
            <w:pPr>
              <w:pStyle w:val="15"/>
            </w:pPr>
            <w:r>
              <w:t>受益部门调查</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22"/>
      <w:r>
        <w:rPr>
          <w:rFonts w:ascii="方正仿宋_GBK" w:hAnsi="方正仿宋_GBK" w:eastAsia="方正仿宋_GBK" w:cs="方正仿宋_GBK"/>
          <w:color w:val="000000"/>
          <w:sz w:val="28"/>
        </w:rPr>
        <w:t>19.考古基地运营费绩效目标表</w:t>
      </w:r>
      <w:bookmarkEnd w:id="1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1.通过项目的开展实现项目安全等活动，保障日常工作正常运转的实现。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完成服务对象个数</w:t>
            </w:r>
          </w:p>
        </w:tc>
        <w:tc>
          <w:tcPr>
            <w:tcW w:w="2891" w:type="dxa"/>
            <w:vAlign w:val="center"/>
          </w:tcPr>
          <w:p>
            <w:pPr>
              <w:pStyle w:val="15"/>
            </w:pPr>
            <w:r>
              <w:t>完成服务对象个数</w:t>
            </w:r>
          </w:p>
        </w:tc>
        <w:tc>
          <w:tcPr>
            <w:tcW w:w="1276" w:type="dxa"/>
            <w:vAlign w:val="center"/>
          </w:tcPr>
          <w:p>
            <w:pPr>
              <w:pStyle w:val="15"/>
            </w:pPr>
            <w:r>
              <w:t>1个</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日常巡查维修及时率</w:t>
            </w:r>
          </w:p>
        </w:tc>
        <w:tc>
          <w:tcPr>
            <w:tcW w:w="2891" w:type="dxa"/>
            <w:vAlign w:val="center"/>
          </w:tcPr>
          <w:p>
            <w:pPr>
              <w:pStyle w:val="15"/>
            </w:pPr>
            <w:r>
              <w:t>有记录的巡查维修到场次数占规定巡查维修到场次数的比率</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工作完成及时率</w:t>
            </w:r>
          </w:p>
        </w:tc>
        <w:tc>
          <w:tcPr>
            <w:tcW w:w="2891" w:type="dxa"/>
            <w:vAlign w:val="center"/>
          </w:tcPr>
          <w:p>
            <w:pPr>
              <w:pStyle w:val="15"/>
            </w:pPr>
            <w:r>
              <w:t>反应工作完成及时率</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每平米运营支出</w:t>
            </w:r>
          </w:p>
        </w:tc>
        <w:tc>
          <w:tcPr>
            <w:tcW w:w="1276" w:type="dxa"/>
            <w:vAlign w:val="center"/>
          </w:tcPr>
          <w:p>
            <w:pPr>
              <w:pStyle w:val="15"/>
            </w:pPr>
            <w:r>
              <w:t>≤35元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促进经济发展</w:t>
            </w:r>
          </w:p>
        </w:tc>
        <w:tc>
          <w:tcPr>
            <w:tcW w:w="1276" w:type="dxa"/>
            <w:vAlign w:val="center"/>
          </w:tcPr>
          <w:p>
            <w:pPr>
              <w:pStyle w:val="15"/>
            </w:pPr>
            <w:r>
              <w:t>缴纳增值税，促进经济发展</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保障日常办公需要，维持单位正常运转</w:t>
            </w:r>
          </w:p>
        </w:tc>
        <w:tc>
          <w:tcPr>
            <w:tcW w:w="2891" w:type="dxa"/>
            <w:vAlign w:val="center"/>
          </w:tcPr>
          <w:p>
            <w:pPr>
              <w:pStyle w:val="15"/>
            </w:pPr>
            <w:r>
              <w:t>反映保障日常办公需要，维持单位正常运转</w:t>
            </w:r>
          </w:p>
        </w:tc>
        <w:tc>
          <w:tcPr>
            <w:tcW w:w="1276" w:type="dxa"/>
            <w:vAlign w:val="center"/>
          </w:tcPr>
          <w:p>
            <w:pPr>
              <w:pStyle w:val="15"/>
            </w:pPr>
            <w:r>
              <w:t>不拖欠员工工资，日常运转正常</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员工满意度</w:t>
            </w:r>
          </w:p>
        </w:tc>
        <w:tc>
          <w:tcPr>
            <w:tcW w:w="2891" w:type="dxa"/>
            <w:vAlign w:val="center"/>
          </w:tcPr>
          <w:p>
            <w:pPr>
              <w:pStyle w:val="15"/>
            </w:pPr>
            <w:r>
              <w:t>员工满意比率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3"/>
      <w:r>
        <w:rPr>
          <w:rFonts w:ascii="方正仿宋_GBK" w:hAnsi="方正仿宋_GBK" w:eastAsia="方正仿宋_GBK" w:cs="方正仿宋_GBK"/>
          <w:color w:val="000000"/>
          <w:sz w:val="28"/>
        </w:rPr>
        <w:t>20.科技产业扶持引导基金绩效目标表</w:t>
      </w:r>
      <w:bookmarkEnd w:id="1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rPr>
                <w:rFonts w:hint="eastAsia" w:eastAsia="方正书宋_GBK"/>
                <w:lang w:eastAsia="zh-CN"/>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1.企业主体培育，创新能力提升，协同发展先行示范区建设，绿色示范园区建设；通过促进企业发展，加快科技创新建设。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扶持企业数量</w:t>
            </w:r>
          </w:p>
        </w:tc>
        <w:tc>
          <w:tcPr>
            <w:tcW w:w="2891" w:type="dxa"/>
            <w:vAlign w:val="center"/>
          </w:tcPr>
          <w:p>
            <w:pPr>
              <w:pStyle w:val="15"/>
            </w:pPr>
            <w:r>
              <w:t>获得奖励扶持的企业</w:t>
            </w:r>
          </w:p>
        </w:tc>
        <w:tc>
          <w:tcPr>
            <w:tcW w:w="1276" w:type="dxa"/>
            <w:vAlign w:val="center"/>
          </w:tcPr>
          <w:p>
            <w:pPr>
              <w:pStyle w:val="15"/>
            </w:pPr>
            <w:r>
              <w:t>≥5个</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奖励发放覆盖率</w:t>
            </w:r>
          </w:p>
        </w:tc>
        <w:tc>
          <w:tcPr>
            <w:tcW w:w="2891" w:type="dxa"/>
            <w:vAlign w:val="center"/>
          </w:tcPr>
          <w:p>
            <w:pPr>
              <w:pStyle w:val="15"/>
            </w:pPr>
            <w:r>
              <w:t>反映已奖励企业占应奖励企业比例</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工作完成及时</w:t>
            </w:r>
          </w:p>
        </w:tc>
        <w:tc>
          <w:tcPr>
            <w:tcW w:w="2891" w:type="dxa"/>
            <w:vAlign w:val="center"/>
          </w:tcPr>
          <w:p>
            <w:pPr>
              <w:pStyle w:val="15"/>
            </w:pPr>
            <w:r>
              <w:t>领导批复后及时完成工作</w:t>
            </w:r>
          </w:p>
        </w:tc>
        <w:tc>
          <w:tcPr>
            <w:tcW w:w="1276" w:type="dxa"/>
            <w:vAlign w:val="center"/>
          </w:tcPr>
          <w:p>
            <w:pPr>
              <w:pStyle w:val="15"/>
            </w:pPr>
            <w:r>
              <w:t>≤1月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预算控制数</w:t>
            </w:r>
          </w:p>
        </w:tc>
        <w:tc>
          <w:tcPr>
            <w:tcW w:w="2891" w:type="dxa"/>
            <w:vAlign w:val="center"/>
          </w:tcPr>
          <w:p>
            <w:pPr>
              <w:pStyle w:val="15"/>
            </w:pPr>
            <w:r>
              <w:t>单个企业奖励资金成本控制在预算额度内</w:t>
            </w:r>
          </w:p>
        </w:tc>
        <w:tc>
          <w:tcPr>
            <w:tcW w:w="1276" w:type="dxa"/>
            <w:vAlign w:val="center"/>
          </w:tcPr>
          <w:p>
            <w:pPr>
              <w:pStyle w:val="15"/>
            </w:pPr>
            <w:r>
              <w:t>≤200万元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受扶持企业产值增加</w:t>
            </w:r>
          </w:p>
        </w:tc>
        <w:tc>
          <w:tcPr>
            <w:tcW w:w="2891" w:type="dxa"/>
            <w:vAlign w:val="center"/>
          </w:tcPr>
          <w:p>
            <w:pPr>
              <w:pStyle w:val="15"/>
            </w:pPr>
            <w:r>
              <w:t>反映受扶持企业产值增加情况</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4"/>
      <w:r>
        <w:rPr>
          <w:rFonts w:ascii="方正仿宋_GBK" w:hAnsi="方正仿宋_GBK" w:eastAsia="方正仿宋_GBK" w:cs="方正仿宋_GBK"/>
          <w:color w:val="000000"/>
          <w:sz w:val="28"/>
        </w:rPr>
        <w:t>21.企业发展扶持基金绩效目标表</w:t>
      </w:r>
      <w:bookmarkEnd w:id="2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rPr>
                <w:rFonts w:hint="eastAsia" w:eastAsia="方正书宋_GBK"/>
                <w:lang w:eastAsia="zh-CN"/>
              </w:rPr>
            </w:pPr>
            <w:r>
              <w:rPr>
                <w:rFonts w:hint="eastAsia"/>
                <w:lang w:val="en-US" w:eastAsia="zh-CN"/>
              </w:rP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1.通过支持重大招商引资项目落地，支持综合性创新平台和科创园建设，支持重点企业上市发展，支持转型升级和重点增资扩建项目，支持总部经济发展确保园区稳定发展。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促进项目落地数</w:t>
            </w:r>
          </w:p>
        </w:tc>
        <w:tc>
          <w:tcPr>
            <w:tcW w:w="2891" w:type="dxa"/>
            <w:vAlign w:val="center"/>
          </w:tcPr>
          <w:p>
            <w:pPr>
              <w:pStyle w:val="15"/>
            </w:pPr>
            <w:r>
              <w:t>扶持重大项目、平台、总部和二期项目落地</w:t>
            </w:r>
          </w:p>
        </w:tc>
        <w:tc>
          <w:tcPr>
            <w:tcW w:w="1276" w:type="dxa"/>
            <w:vAlign w:val="center"/>
          </w:tcPr>
          <w:p>
            <w:pPr>
              <w:pStyle w:val="15"/>
            </w:pPr>
            <w:r>
              <w:t>≥4个</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rPr>
                <w:rFonts w:hint="eastAsia"/>
                <w:lang w:eastAsia="zh-CN"/>
              </w:rPr>
              <w:t>当年给予奖励</w:t>
            </w:r>
            <w:r>
              <w:t>企业完成率</w:t>
            </w:r>
          </w:p>
        </w:tc>
        <w:tc>
          <w:tcPr>
            <w:tcW w:w="2891" w:type="dxa"/>
            <w:vAlign w:val="center"/>
          </w:tcPr>
          <w:p>
            <w:pPr>
              <w:pStyle w:val="15"/>
            </w:pPr>
            <w:r>
              <w:rPr>
                <w:rFonts w:hint="eastAsia"/>
                <w:lang w:eastAsia="zh-CN"/>
              </w:rPr>
              <w:t>当年给予奖励</w:t>
            </w:r>
            <w:r>
              <w:t>企业完成率</w:t>
            </w:r>
          </w:p>
        </w:tc>
        <w:tc>
          <w:tcPr>
            <w:tcW w:w="1276" w:type="dxa"/>
            <w:vAlign w:val="center"/>
          </w:tcPr>
          <w:p>
            <w:pPr>
              <w:pStyle w:val="15"/>
            </w:pPr>
            <w:r>
              <w:t>≥75%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扶持资金兑现的及时性</w:t>
            </w:r>
          </w:p>
        </w:tc>
        <w:tc>
          <w:tcPr>
            <w:tcW w:w="2891" w:type="dxa"/>
            <w:vAlign w:val="center"/>
          </w:tcPr>
          <w:p>
            <w:pPr>
              <w:pStyle w:val="15"/>
            </w:pPr>
            <w:r>
              <w:t>及时兑现扶持资金，促进项目</w:t>
            </w:r>
          </w:p>
        </w:tc>
        <w:tc>
          <w:tcPr>
            <w:tcW w:w="1276" w:type="dxa"/>
            <w:vAlign w:val="center"/>
          </w:tcPr>
          <w:p>
            <w:pPr>
              <w:pStyle w:val="15"/>
            </w:pPr>
            <w:r>
              <w:t>≤30天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扶持奖励数</w:t>
            </w:r>
          </w:p>
        </w:tc>
        <w:tc>
          <w:tcPr>
            <w:tcW w:w="2891" w:type="dxa"/>
            <w:vAlign w:val="center"/>
          </w:tcPr>
          <w:p>
            <w:pPr>
              <w:pStyle w:val="15"/>
            </w:pPr>
            <w:r>
              <w:t>给与单个企业的奖励在预算额度内</w:t>
            </w:r>
          </w:p>
        </w:tc>
        <w:tc>
          <w:tcPr>
            <w:tcW w:w="1276" w:type="dxa"/>
            <w:vAlign w:val="center"/>
          </w:tcPr>
          <w:p>
            <w:pPr>
              <w:pStyle w:val="15"/>
            </w:pPr>
            <w:r>
              <w:t>≤500万</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有效促进经济发展</w:t>
            </w:r>
          </w:p>
        </w:tc>
        <w:tc>
          <w:tcPr>
            <w:tcW w:w="1276" w:type="dxa"/>
            <w:vAlign w:val="center"/>
          </w:tcPr>
          <w:p>
            <w:pPr>
              <w:pStyle w:val="15"/>
            </w:pPr>
            <w:r>
              <w:t>制定专项资金管理办法</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就业人数</w:t>
            </w:r>
          </w:p>
        </w:tc>
        <w:tc>
          <w:tcPr>
            <w:tcW w:w="2891" w:type="dxa"/>
            <w:vAlign w:val="center"/>
          </w:tcPr>
          <w:p>
            <w:pPr>
              <w:pStyle w:val="15"/>
            </w:pPr>
            <w:r>
              <w:t>加快人才引进</w:t>
            </w:r>
          </w:p>
        </w:tc>
        <w:tc>
          <w:tcPr>
            <w:tcW w:w="1276" w:type="dxa"/>
            <w:vAlign w:val="center"/>
          </w:tcPr>
          <w:p>
            <w:pPr>
              <w:pStyle w:val="15"/>
            </w:pPr>
            <w:r>
              <w:t>≥50人</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5"/>
      <w:r>
        <w:rPr>
          <w:rFonts w:ascii="方正仿宋_GBK" w:hAnsi="方正仿宋_GBK" w:eastAsia="方正仿宋_GBK" w:cs="方正仿宋_GBK"/>
          <w:color w:val="000000"/>
          <w:sz w:val="28"/>
        </w:rPr>
        <w:t>22.人才管理工作经费绩效目标表</w:t>
      </w:r>
      <w:bookmarkEnd w:id="2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rPr>
                <w:rFonts w:hint="eastAsia" w:eastAsia="方正书宋_GBK"/>
                <w:lang w:val="en-US" w:eastAsia="zh-CN"/>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1.2023年组织各类招聘会40场，发布就业岗位5000个，组织参会企业15000家。通过组织各类招聘会，为企业与求职者搭建就业平台，解决企业招工难，个人求职难问题。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组织招聘会</w:t>
            </w:r>
          </w:p>
        </w:tc>
        <w:tc>
          <w:tcPr>
            <w:tcW w:w="2891" w:type="dxa"/>
            <w:vAlign w:val="center"/>
          </w:tcPr>
          <w:p>
            <w:pPr>
              <w:pStyle w:val="15"/>
            </w:pPr>
            <w:r>
              <w:t>全年组织各类人才招聘会</w:t>
            </w:r>
          </w:p>
        </w:tc>
        <w:tc>
          <w:tcPr>
            <w:tcW w:w="1276" w:type="dxa"/>
            <w:vAlign w:val="center"/>
          </w:tcPr>
          <w:p>
            <w:pPr>
              <w:pStyle w:val="15"/>
            </w:pPr>
            <w:r>
              <w:t>40场</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培训合格率</w:t>
            </w:r>
          </w:p>
        </w:tc>
        <w:tc>
          <w:tcPr>
            <w:tcW w:w="2891" w:type="dxa"/>
            <w:vAlign w:val="center"/>
          </w:tcPr>
          <w:p>
            <w:pPr>
              <w:pStyle w:val="15"/>
            </w:pPr>
            <w:r>
              <w:t>培训合格比例</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及时性</w:t>
            </w:r>
          </w:p>
        </w:tc>
        <w:tc>
          <w:tcPr>
            <w:tcW w:w="2891" w:type="dxa"/>
            <w:vAlign w:val="center"/>
          </w:tcPr>
          <w:p>
            <w:pPr>
              <w:pStyle w:val="15"/>
            </w:pPr>
            <w:r>
              <w:t>发布招聘信息及时性</w:t>
            </w:r>
          </w:p>
        </w:tc>
        <w:tc>
          <w:tcPr>
            <w:tcW w:w="1276" w:type="dxa"/>
            <w:vAlign w:val="center"/>
          </w:tcPr>
          <w:p>
            <w:pPr>
              <w:pStyle w:val="15"/>
            </w:pPr>
            <w:r>
              <w:t>≤7天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单位成本控制数</w:t>
            </w:r>
          </w:p>
        </w:tc>
        <w:tc>
          <w:tcPr>
            <w:tcW w:w="2891" w:type="dxa"/>
            <w:vAlign w:val="center"/>
          </w:tcPr>
          <w:p>
            <w:pPr>
              <w:pStyle w:val="15"/>
            </w:pPr>
            <w:r>
              <w:t>单次招聘会支出控制在预算内</w:t>
            </w:r>
          </w:p>
        </w:tc>
        <w:tc>
          <w:tcPr>
            <w:tcW w:w="1276" w:type="dxa"/>
            <w:vAlign w:val="center"/>
          </w:tcPr>
          <w:p>
            <w:pPr>
              <w:pStyle w:val="15"/>
            </w:pPr>
            <w:r>
              <w:t>≤30万元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效益指标</w:t>
            </w:r>
          </w:p>
        </w:tc>
        <w:tc>
          <w:tcPr>
            <w:tcW w:w="1276" w:type="dxa"/>
            <w:vAlign w:val="center"/>
          </w:tcPr>
          <w:p>
            <w:pPr>
              <w:pStyle w:val="15"/>
            </w:pPr>
            <w:r>
              <w:t>经济效益指标</w:t>
            </w:r>
          </w:p>
        </w:tc>
        <w:tc>
          <w:tcPr>
            <w:tcW w:w="1332" w:type="dxa"/>
            <w:vAlign w:val="center"/>
          </w:tcPr>
          <w:p>
            <w:pPr>
              <w:pStyle w:val="15"/>
            </w:pPr>
            <w:r>
              <w:t>经济发展</w:t>
            </w:r>
          </w:p>
        </w:tc>
        <w:tc>
          <w:tcPr>
            <w:tcW w:w="2891" w:type="dxa"/>
            <w:vAlign w:val="center"/>
          </w:tcPr>
          <w:p>
            <w:pPr>
              <w:pStyle w:val="15"/>
            </w:pPr>
            <w:r>
              <w:t>经济发展</w:t>
            </w:r>
          </w:p>
        </w:tc>
        <w:tc>
          <w:tcPr>
            <w:tcW w:w="1276" w:type="dxa"/>
            <w:vAlign w:val="center"/>
          </w:tcPr>
          <w:p>
            <w:pPr>
              <w:pStyle w:val="15"/>
            </w:pPr>
            <w:r>
              <w:t>制定招商方案，改善营商环境。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社会效益指标</w:t>
            </w:r>
          </w:p>
        </w:tc>
        <w:tc>
          <w:tcPr>
            <w:tcW w:w="1332" w:type="dxa"/>
            <w:vAlign w:val="center"/>
          </w:tcPr>
          <w:p>
            <w:pPr>
              <w:pStyle w:val="15"/>
            </w:pPr>
            <w:r>
              <w:t>燕郊高新区管委会影响力社会提高</w:t>
            </w:r>
          </w:p>
        </w:tc>
        <w:tc>
          <w:tcPr>
            <w:tcW w:w="2891" w:type="dxa"/>
            <w:vAlign w:val="center"/>
          </w:tcPr>
          <w:p>
            <w:pPr>
              <w:pStyle w:val="15"/>
            </w:pPr>
            <w:r>
              <w:t>考察燕郊高新管委会影响力社会提高情况</w:t>
            </w:r>
          </w:p>
        </w:tc>
        <w:tc>
          <w:tcPr>
            <w:tcW w:w="1276" w:type="dxa"/>
            <w:vAlign w:val="center"/>
          </w:tcPr>
          <w:p>
            <w:pPr>
              <w:pStyle w:val="15"/>
            </w:pPr>
            <w:r>
              <w:t>大幅度减少负面影响</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求职人员满意度</w:t>
            </w:r>
          </w:p>
        </w:tc>
        <w:tc>
          <w:tcPr>
            <w:tcW w:w="2891" w:type="dxa"/>
            <w:vAlign w:val="center"/>
          </w:tcPr>
          <w:p>
            <w:pPr>
              <w:pStyle w:val="15"/>
            </w:pPr>
            <w:r>
              <w:t>对求职人员调查中满意占调查总人数比例</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6"/>
      <w:r>
        <w:rPr>
          <w:rFonts w:ascii="方正仿宋_GBK" w:hAnsi="方正仿宋_GBK" w:eastAsia="方正仿宋_GBK" w:cs="方正仿宋_GBK"/>
          <w:color w:val="000000"/>
          <w:sz w:val="28"/>
        </w:rPr>
        <w:t>23.维稳经费绩效目标表</w:t>
      </w:r>
      <w:bookmarkEnd w:id="2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rPr>
                <w:rFonts w:hint="eastAsia" w:eastAsia="方正书宋_GBK"/>
                <w:lang w:eastAsia="zh-CN"/>
              </w:rPr>
            </w:pPr>
            <w:r>
              <w:rPr>
                <w:rFonts w:hint="eastAsia"/>
                <w:lang w:val="en-US" w:eastAsia="zh-CN"/>
              </w:rP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1.通过及时有效处理高新区城市、社会管理、招商、维稳方面确保高新区区内和谐稳定发展。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突发事件处置数</w:t>
            </w:r>
          </w:p>
        </w:tc>
        <w:tc>
          <w:tcPr>
            <w:tcW w:w="2891" w:type="dxa"/>
            <w:vAlign w:val="center"/>
          </w:tcPr>
          <w:p>
            <w:pPr>
              <w:pStyle w:val="15"/>
            </w:pPr>
            <w:r>
              <w:t>处置完成突发事件数量占突发事件数量的件数</w:t>
            </w:r>
          </w:p>
        </w:tc>
        <w:tc>
          <w:tcPr>
            <w:tcW w:w="1276" w:type="dxa"/>
            <w:vAlign w:val="center"/>
          </w:tcPr>
          <w:p>
            <w:pPr>
              <w:pStyle w:val="15"/>
            </w:pPr>
            <w:r>
              <w:t>≥5件</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突发事件处置率</w:t>
            </w:r>
          </w:p>
        </w:tc>
        <w:tc>
          <w:tcPr>
            <w:tcW w:w="2891" w:type="dxa"/>
            <w:vAlign w:val="center"/>
          </w:tcPr>
          <w:p>
            <w:pPr>
              <w:pStyle w:val="15"/>
            </w:pPr>
            <w:r>
              <w:t>处置完成突发事件数量占突发事件数量的比率</w:t>
            </w:r>
          </w:p>
        </w:tc>
        <w:tc>
          <w:tcPr>
            <w:tcW w:w="1276" w:type="dxa"/>
            <w:vAlign w:val="center"/>
          </w:tcPr>
          <w:p>
            <w:pPr>
              <w:pStyle w:val="15"/>
            </w:pPr>
            <w:r>
              <w:t>≥80%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综合事务管理工作完成率</w:t>
            </w:r>
          </w:p>
        </w:tc>
        <w:tc>
          <w:tcPr>
            <w:tcW w:w="2891" w:type="dxa"/>
            <w:vAlign w:val="center"/>
          </w:tcPr>
          <w:p>
            <w:pPr>
              <w:pStyle w:val="15"/>
            </w:pPr>
            <w:r>
              <w:t>综合事务管理工作完成情况</w:t>
            </w:r>
          </w:p>
        </w:tc>
        <w:tc>
          <w:tcPr>
            <w:tcW w:w="1276" w:type="dxa"/>
            <w:vAlign w:val="center"/>
          </w:tcPr>
          <w:p>
            <w:pPr>
              <w:pStyle w:val="15"/>
            </w:pPr>
            <w:r>
              <w:t>≥80%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单次成本预算控制范围</w:t>
            </w:r>
          </w:p>
        </w:tc>
        <w:tc>
          <w:tcPr>
            <w:tcW w:w="1276" w:type="dxa"/>
            <w:vAlign w:val="center"/>
          </w:tcPr>
          <w:p>
            <w:pPr>
              <w:pStyle w:val="15"/>
            </w:pPr>
            <w:r>
              <w:t>≤30万元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重大舆情监测覆盖</w:t>
            </w:r>
          </w:p>
        </w:tc>
        <w:tc>
          <w:tcPr>
            <w:tcW w:w="2891" w:type="dxa"/>
            <w:vAlign w:val="center"/>
          </w:tcPr>
          <w:p>
            <w:pPr>
              <w:pStyle w:val="15"/>
            </w:pPr>
            <w:r>
              <w:t>重大舆情监测覆盖范围</w:t>
            </w:r>
          </w:p>
        </w:tc>
        <w:tc>
          <w:tcPr>
            <w:tcW w:w="1276" w:type="dxa"/>
            <w:vAlign w:val="center"/>
          </w:tcPr>
          <w:p>
            <w:pPr>
              <w:pStyle w:val="15"/>
            </w:pPr>
            <w:r>
              <w:t>高新区全区</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7"/>
      <w:r>
        <w:rPr>
          <w:rFonts w:ascii="方正仿宋_GBK" w:hAnsi="方正仿宋_GBK" w:eastAsia="方正仿宋_GBK" w:cs="方正仿宋_GBK"/>
          <w:color w:val="000000"/>
          <w:sz w:val="28"/>
        </w:rPr>
        <w:t>24.文教社会事务业务费绩效目标表</w:t>
      </w:r>
      <w:bookmarkEnd w:id="2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rPr>
                <w:rFonts w:hint="eastAsia" w:eastAsia="方正书宋_GBK"/>
                <w:lang w:eastAsia="zh-CN"/>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1.通过文化体育活动的开展实现社会影响力。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举办活动场次</w:t>
            </w:r>
          </w:p>
        </w:tc>
        <w:tc>
          <w:tcPr>
            <w:tcW w:w="2891" w:type="dxa"/>
            <w:vAlign w:val="center"/>
          </w:tcPr>
          <w:p>
            <w:pPr>
              <w:pStyle w:val="15"/>
            </w:pPr>
            <w:r>
              <w:t>举办活动场次</w:t>
            </w:r>
          </w:p>
        </w:tc>
        <w:tc>
          <w:tcPr>
            <w:tcW w:w="1276" w:type="dxa"/>
            <w:vAlign w:val="center"/>
          </w:tcPr>
          <w:p>
            <w:pPr>
              <w:pStyle w:val="15"/>
            </w:pPr>
            <w:r>
              <w:t>≥50次</w:t>
            </w:r>
          </w:p>
        </w:tc>
        <w:tc>
          <w:tcPr>
            <w:tcW w:w="1843"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任务完成率</w:t>
            </w:r>
          </w:p>
        </w:tc>
        <w:tc>
          <w:tcPr>
            <w:tcW w:w="2891" w:type="dxa"/>
            <w:vAlign w:val="center"/>
          </w:tcPr>
          <w:p>
            <w:pPr>
              <w:pStyle w:val="15"/>
            </w:pPr>
            <w:r>
              <w:t>任务完成率</w:t>
            </w:r>
          </w:p>
        </w:tc>
        <w:tc>
          <w:tcPr>
            <w:tcW w:w="1276" w:type="dxa"/>
            <w:vAlign w:val="center"/>
          </w:tcPr>
          <w:p>
            <w:pPr>
              <w:pStyle w:val="15"/>
            </w:pPr>
            <w:r>
              <w:t>100%</w:t>
            </w:r>
          </w:p>
        </w:tc>
        <w:tc>
          <w:tcPr>
            <w:tcW w:w="1843"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工作任务及时完成</w:t>
            </w:r>
          </w:p>
        </w:tc>
        <w:tc>
          <w:tcPr>
            <w:tcW w:w="2891" w:type="dxa"/>
            <w:vAlign w:val="center"/>
          </w:tcPr>
          <w:p>
            <w:pPr>
              <w:pStyle w:val="15"/>
            </w:pPr>
            <w:r>
              <w:t>工作任务及时完成</w:t>
            </w:r>
          </w:p>
        </w:tc>
        <w:tc>
          <w:tcPr>
            <w:tcW w:w="1276" w:type="dxa"/>
            <w:vAlign w:val="center"/>
          </w:tcPr>
          <w:p>
            <w:pPr>
              <w:pStyle w:val="15"/>
            </w:pPr>
            <w:r>
              <w:t>≤60天</w:t>
            </w:r>
          </w:p>
        </w:tc>
        <w:tc>
          <w:tcPr>
            <w:tcW w:w="1843" w:type="dxa"/>
            <w:vAlign w:val="center"/>
          </w:tcPr>
          <w:p>
            <w:pPr>
              <w:pStyle w:val="15"/>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举办活动单价</w:t>
            </w:r>
          </w:p>
        </w:tc>
        <w:tc>
          <w:tcPr>
            <w:tcW w:w="2891" w:type="dxa"/>
            <w:vAlign w:val="center"/>
          </w:tcPr>
          <w:p>
            <w:pPr>
              <w:pStyle w:val="15"/>
            </w:pPr>
            <w:r>
              <w:rPr>
                <w:rFonts w:hint="eastAsia" w:ascii="宋体" w:hAnsi="宋体" w:eastAsia="宋体" w:cs="宋体"/>
                <w:lang w:eastAsia="zh-CN"/>
              </w:rPr>
              <w:t>“</w:t>
            </w:r>
            <w:r>
              <w:t>燕郊之夏</w:t>
            </w:r>
            <w:r>
              <w:rPr>
                <w:rFonts w:hint="eastAsia" w:ascii="宋体" w:hAnsi="宋体" w:eastAsia="宋体" w:cs="宋体"/>
                <w:lang w:eastAsia="zh-CN"/>
              </w:rPr>
              <w:t>”</w:t>
            </w:r>
            <w:r>
              <w:t>系列文化演出单场价</w:t>
            </w:r>
          </w:p>
        </w:tc>
        <w:tc>
          <w:tcPr>
            <w:tcW w:w="1276" w:type="dxa"/>
            <w:vAlign w:val="center"/>
          </w:tcPr>
          <w:p>
            <w:pPr>
              <w:pStyle w:val="15"/>
            </w:pPr>
            <w:r>
              <w:t>≤2.8万元</w:t>
            </w:r>
          </w:p>
        </w:tc>
        <w:tc>
          <w:tcPr>
            <w:tcW w:w="1843" w:type="dxa"/>
            <w:vAlign w:val="center"/>
          </w:tcPr>
          <w:p>
            <w:pPr>
              <w:pStyle w:val="15"/>
            </w:pPr>
            <w: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受益总人数</w:t>
            </w:r>
          </w:p>
        </w:tc>
        <w:tc>
          <w:tcPr>
            <w:tcW w:w="2891" w:type="dxa"/>
            <w:vAlign w:val="center"/>
          </w:tcPr>
          <w:p>
            <w:pPr>
              <w:pStyle w:val="15"/>
            </w:pPr>
            <w:r>
              <w:t>受益总人数</w:t>
            </w:r>
          </w:p>
        </w:tc>
        <w:tc>
          <w:tcPr>
            <w:tcW w:w="1276" w:type="dxa"/>
            <w:vAlign w:val="center"/>
          </w:tcPr>
          <w:p>
            <w:pPr>
              <w:pStyle w:val="15"/>
            </w:pPr>
            <w:r>
              <w:t>≥8500人</w:t>
            </w:r>
          </w:p>
        </w:tc>
        <w:tc>
          <w:tcPr>
            <w:tcW w:w="1843" w:type="dxa"/>
            <w:vAlign w:val="center"/>
          </w:tcPr>
          <w:p>
            <w:pPr>
              <w:pStyle w:val="15"/>
            </w:pPr>
            <w:r>
              <w:t>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活动参与人员满意度</w:t>
            </w:r>
          </w:p>
        </w:tc>
        <w:tc>
          <w:tcPr>
            <w:tcW w:w="2891" w:type="dxa"/>
            <w:vAlign w:val="center"/>
          </w:tcPr>
          <w:p>
            <w:pPr>
              <w:pStyle w:val="15"/>
            </w:pPr>
            <w:r>
              <w:t>活动参与人员满意度</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8"/>
      <w:r>
        <w:rPr>
          <w:rFonts w:ascii="方正仿宋_GBK" w:hAnsi="方正仿宋_GBK" w:eastAsia="方正仿宋_GBK" w:cs="方正仿宋_GBK"/>
          <w:color w:val="000000"/>
          <w:sz w:val="28"/>
        </w:rPr>
        <w:t>25.污水处理厂运营费绩效目标表</w:t>
      </w:r>
      <w:bookmarkEnd w:id="2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rPr>
                <w:rFonts w:hint="eastAsia" w:eastAsia="方正书宋_GBK"/>
                <w:lang w:eastAsia="zh-CN"/>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1.通过污水的处理，提高了人民居住环境。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处理废水量</w:t>
            </w:r>
          </w:p>
        </w:tc>
        <w:tc>
          <w:tcPr>
            <w:tcW w:w="2891" w:type="dxa"/>
            <w:vAlign w:val="center"/>
          </w:tcPr>
          <w:p>
            <w:pPr>
              <w:pStyle w:val="15"/>
            </w:pPr>
            <w:r>
              <w:t>处理废水量</w:t>
            </w:r>
          </w:p>
        </w:tc>
        <w:tc>
          <w:tcPr>
            <w:tcW w:w="1276" w:type="dxa"/>
            <w:vAlign w:val="center"/>
          </w:tcPr>
          <w:p>
            <w:pPr>
              <w:pStyle w:val="15"/>
            </w:pPr>
            <w:r>
              <w:t>≥18250000吨</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污水处理达标率</w:t>
            </w:r>
          </w:p>
        </w:tc>
        <w:tc>
          <w:tcPr>
            <w:tcW w:w="2891" w:type="dxa"/>
            <w:vAlign w:val="center"/>
          </w:tcPr>
          <w:p>
            <w:pPr>
              <w:pStyle w:val="15"/>
            </w:pPr>
            <w:r>
              <w:t>污水处理标准达到协议要求</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完成时限</w:t>
            </w:r>
          </w:p>
        </w:tc>
        <w:tc>
          <w:tcPr>
            <w:tcW w:w="2891" w:type="dxa"/>
            <w:vAlign w:val="center"/>
          </w:tcPr>
          <w:p>
            <w:pPr>
              <w:pStyle w:val="15"/>
            </w:pPr>
            <w:r>
              <w:t>污水进入污水处理厂及时处理</w:t>
            </w:r>
          </w:p>
        </w:tc>
        <w:tc>
          <w:tcPr>
            <w:tcW w:w="1276" w:type="dxa"/>
            <w:vAlign w:val="center"/>
          </w:tcPr>
          <w:p>
            <w:pPr>
              <w:pStyle w:val="15"/>
            </w:pPr>
            <w:r>
              <w:t>≤24小时</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每立方米污水处理费控制在预算范围内</w:t>
            </w:r>
          </w:p>
        </w:tc>
        <w:tc>
          <w:tcPr>
            <w:tcW w:w="1276" w:type="dxa"/>
            <w:vAlign w:val="center"/>
          </w:tcPr>
          <w:p>
            <w:pPr>
              <w:pStyle w:val="15"/>
            </w:pPr>
            <w:r>
              <w:t>≤5元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改善居民生活居住环境</w:t>
            </w:r>
          </w:p>
        </w:tc>
        <w:tc>
          <w:tcPr>
            <w:tcW w:w="2891" w:type="dxa"/>
            <w:vAlign w:val="center"/>
          </w:tcPr>
          <w:p>
            <w:pPr>
              <w:pStyle w:val="15"/>
            </w:pPr>
            <w:r>
              <w:t>改善居民生活居住环境</w:t>
            </w:r>
          </w:p>
        </w:tc>
        <w:tc>
          <w:tcPr>
            <w:tcW w:w="1276" w:type="dxa"/>
            <w:vAlign w:val="center"/>
          </w:tcPr>
          <w:p>
            <w:pPr>
              <w:pStyle w:val="15"/>
            </w:pPr>
            <w:r>
              <w:t>改善居民生活居住环境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居民满意度</w:t>
            </w:r>
          </w:p>
        </w:tc>
        <w:tc>
          <w:tcPr>
            <w:tcW w:w="2891" w:type="dxa"/>
            <w:vAlign w:val="center"/>
          </w:tcPr>
          <w:p>
            <w:pPr>
              <w:pStyle w:val="15"/>
            </w:pPr>
            <w:r>
              <w:t>居民满意度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29"/>
      <w:r>
        <w:rPr>
          <w:rFonts w:ascii="方正仿宋_GBK" w:hAnsi="方正仿宋_GBK" w:eastAsia="方正仿宋_GBK" w:cs="方正仿宋_GBK"/>
          <w:color w:val="000000"/>
          <w:sz w:val="28"/>
        </w:rPr>
        <w:t>26.污水处理厂运营费绩效目标表</w:t>
      </w:r>
      <w:bookmarkEnd w:id="2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rPr>
                <w:rFonts w:hint="eastAsia" w:eastAsia="方正书宋_GBK"/>
                <w:lang w:eastAsia="zh-CN"/>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1.通过污水的处理，提高了人民居住环境。</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处理废水量</w:t>
            </w:r>
          </w:p>
        </w:tc>
        <w:tc>
          <w:tcPr>
            <w:tcW w:w="2891" w:type="dxa"/>
            <w:vAlign w:val="center"/>
          </w:tcPr>
          <w:p>
            <w:pPr>
              <w:pStyle w:val="15"/>
            </w:pPr>
            <w:r>
              <w:t>处理废水量</w:t>
            </w:r>
          </w:p>
        </w:tc>
        <w:tc>
          <w:tcPr>
            <w:tcW w:w="1276" w:type="dxa"/>
            <w:vAlign w:val="center"/>
          </w:tcPr>
          <w:p>
            <w:pPr>
              <w:pStyle w:val="15"/>
            </w:pPr>
            <w:r>
              <w:t>≥1825000处理废水量</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污水处理达标率</w:t>
            </w:r>
          </w:p>
        </w:tc>
        <w:tc>
          <w:tcPr>
            <w:tcW w:w="2891" w:type="dxa"/>
            <w:vAlign w:val="center"/>
          </w:tcPr>
          <w:p>
            <w:pPr>
              <w:pStyle w:val="15"/>
            </w:pPr>
            <w:r>
              <w:t>污水处理标准达到协议要求</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完成时限</w:t>
            </w:r>
          </w:p>
        </w:tc>
        <w:tc>
          <w:tcPr>
            <w:tcW w:w="2891" w:type="dxa"/>
            <w:vAlign w:val="center"/>
          </w:tcPr>
          <w:p>
            <w:pPr>
              <w:pStyle w:val="15"/>
            </w:pPr>
            <w:r>
              <w:t>污水进入污水处理厂及时处理</w:t>
            </w:r>
          </w:p>
        </w:tc>
        <w:tc>
          <w:tcPr>
            <w:tcW w:w="1276" w:type="dxa"/>
            <w:vAlign w:val="center"/>
          </w:tcPr>
          <w:p>
            <w:pPr>
              <w:pStyle w:val="15"/>
            </w:pPr>
            <w:r>
              <w:t>≤24小时</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每立方米污水处理费控制在预算范围内</w:t>
            </w:r>
          </w:p>
        </w:tc>
        <w:tc>
          <w:tcPr>
            <w:tcW w:w="1276" w:type="dxa"/>
            <w:vAlign w:val="center"/>
          </w:tcPr>
          <w:p>
            <w:pPr>
              <w:pStyle w:val="15"/>
            </w:pPr>
            <w:r>
              <w:t>≤5单位成本</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改善居民生活居住环境</w:t>
            </w:r>
          </w:p>
        </w:tc>
        <w:tc>
          <w:tcPr>
            <w:tcW w:w="2891" w:type="dxa"/>
            <w:vAlign w:val="center"/>
          </w:tcPr>
          <w:p>
            <w:pPr>
              <w:pStyle w:val="15"/>
            </w:pPr>
            <w:r>
              <w:t>改善居民生活居住环境</w:t>
            </w:r>
          </w:p>
        </w:tc>
        <w:tc>
          <w:tcPr>
            <w:tcW w:w="1276" w:type="dxa"/>
            <w:vAlign w:val="center"/>
          </w:tcPr>
          <w:p>
            <w:pPr>
              <w:pStyle w:val="15"/>
            </w:pPr>
            <w:r>
              <w:t>改善居民生活居住环境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居民满意度</w:t>
            </w:r>
          </w:p>
        </w:tc>
        <w:tc>
          <w:tcPr>
            <w:tcW w:w="2891" w:type="dxa"/>
            <w:vAlign w:val="center"/>
          </w:tcPr>
          <w:p>
            <w:pPr>
              <w:pStyle w:val="15"/>
            </w:pPr>
            <w:r>
              <w:t>居民满意度</w:t>
            </w:r>
          </w:p>
        </w:tc>
        <w:tc>
          <w:tcPr>
            <w:tcW w:w="1276" w:type="dxa"/>
            <w:vAlign w:val="center"/>
          </w:tcPr>
          <w:p>
            <w:pPr>
              <w:pStyle w:val="15"/>
            </w:pPr>
            <w:r>
              <w:t>≥95居民满意度</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30"/>
      <w:r>
        <w:rPr>
          <w:rFonts w:ascii="方正仿宋_GBK" w:hAnsi="方正仿宋_GBK" w:eastAsia="方正仿宋_GBK" w:cs="方正仿宋_GBK"/>
          <w:color w:val="000000"/>
          <w:sz w:val="28"/>
        </w:rPr>
        <w:t>27.行政审批专项经费绩效目标表</w:t>
      </w:r>
      <w:bookmarkEnd w:id="2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rPr>
                <w:rFonts w:hint="default" w:eastAsia="方正书宋_GBK"/>
                <w:lang w:val="en-US" w:eastAsia="zh-CN"/>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1.通过项目的实施更好</w:t>
            </w:r>
            <w:r>
              <w:rPr>
                <w:rFonts w:hint="eastAsia"/>
                <w:lang w:eastAsia="zh-CN"/>
              </w:rPr>
              <w:t>地</w:t>
            </w:r>
            <w:r>
              <w:t>为市民提供优质的服务。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业务量</w:t>
            </w:r>
          </w:p>
        </w:tc>
        <w:tc>
          <w:tcPr>
            <w:tcW w:w="2891" w:type="dxa"/>
            <w:vAlign w:val="center"/>
          </w:tcPr>
          <w:p>
            <w:pPr>
              <w:pStyle w:val="15"/>
            </w:pPr>
            <w:r>
              <w:t>日办理审批业务量</w:t>
            </w:r>
          </w:p>
        </w:tc>
        <w:tc>
          <w:tcPr>
            <w:tcW w:w="1276" w:type="dxa"/>
            <w:vAlign w:val="center"/>
          </w:tcPr>
          <w:p>
            <w:pPr>
              <w:pStyle w:val="15"/>
            </w:pPr>
            <w:r>
              <w:t>≥900个</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正常运转率</w:t>
            </w:r>
          </w:p>
        </w:tc>
        <w:tc>
          <w:tcPr>
            <w:tcW w:w="2891" w:type="dxa"/>
            <w:vAlign w:val="center"/>
          </w:tcPr>
          <w:p>
            <w:pPr>
              <w:pStyle w:val="15"/>
            </w:pPr>
            <w:r>
              <w:t>使大厅工作正常运转</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费用支出时间</w:t>
            </w:r>
          </w:p>
        </w:tc>
        <w:tc>
          <w:tcPr>
            <w:tcW w:w="2891" w:type="dxa"/>
            <w:vAlign w:val="center"/>
          </w:tcPr>
          <w:p>
            <w:pPr>
              <w:pStyle w:val="15"/>
            </w:pPr>
            <w:r>
              <w:t>按月支付资金到位</w:t>
            </w:r>
          </w:p>
        </w:tc>
        <w:tc>
          <w:tcPr>
            <w:tcW w:w="1276" w:type="dxa"/>
            <w:vAlign w:val="center"/>
          </w:tcPr>
          <w:p>
            <w:pPr>
              <w:pStyle w:val="15"/>
            </w:pPr>
            <w:r>
              <w:t>≤12月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每平方米运营支出控制在预算范围内</w:t>
            </w:r>
          </w:p>
        </w:tc>
        <w:tc>
          <w:tcPr>
            <w:tcW w:w="1276" w:type="dxa"/>
            <w:vAlign w:val="center"/>
          </w:tcPr>
          <w:p>
            <w:pPr>
              <w:pStyle w:val="15"/>
            </w:pPr>
            <w:r>
              <w:t>≤1200元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事项办结率</w:t>
            </w:r>
          </w:p>
        </w:tc>
        <w:tc>
          <w:tcPr>
            <w:tcW w:w="2891" w:type="dxa"/>
            <w:vAlign w:val="center"/>
          </w:tcPr>
          <w:p>
            <w:pPr>
              <w:pStyle w:val="15"/>
            </w:pPr>
            <w:r>
              <w:rPr>
                <w:rFonts w:hint="eastAsia"/>
                <w:lang w:eastAsia="zh-CN"/>
              </w:rPr>
              <w:t>办</w:t>
            </w:r>
            <w:r>
              <w:t>结事项占全部事项比例</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群众满意度</w:t>
            </w:r>
          </w:p>
        </w:tc>
        <w:tc>
          <w:tcPr>
            <w:tcW w:w="2891" w:type="dxa"/>
            <w:vAlign w:val="center"/>
          </w:tcPr>
          <w:p>
            <w:pPr>
              <w:pStyle w:val="15"/>
            </w:pPr>
            <w:r>
              <w:t>群众对窗口工作的满意度</w:t>
            </w:r>
          </w:p>
        </w:tc>
        <w:tc>
          <w:tcPr>
            <w:tcW w:w="1276" w:type="dxa"/>
            <w:vAlign w:val="center"/>
          </w:tcPr>
          <w:p>
            <w:pPr>
              <w:pStyle w:val="15"/>
            </w:pPr>
            <w:r>
              <w:t>≥95％</w:t>
            </w:r>
          </w:p>
        </w:tc>
        <w:tc>
          <w:tcPr>
            <w:tcW w:w="1843" w:type="dxa"/>
            <w:vAlign w:val="center"/>
          </w:tcPr>
          <w:p>
            <w:pPr>
              <w:pStyle w:val="15"/>
              <w:rPr>
                <w:rFonts w:hint="eastAsia" w:eastAsia="方正书宋_GBK"/>
                <w:lang w:eastAsia="zh-CN"/>
              </w:rPr>
            </w:pPr>
            <w:r>
              <w:rPr>
                <w:rFonts w:hint="eastAsia"/>
                <w:lang w:eastAsia="zh-CN"/>
              </w:rP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31"/>
      <w:r>
        <w:rPr>
          <w:rFonts w:ascii="方正仿宋_GBK" w:hAnsi="方正仿宋_GBK" w:eastAsia="方正仿宋_GBK" w:cs="方正仿宋_GBK"/>
          <w:color w:val="000000"/>
          <w:sz w:val="28"/>
        </w:rPr>
        <w:t>28.宣传策划中心专项经费绩效目标表</w:t>
      </w:r>
      <w:bookmarkEnd w:id="2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1.通过本项目实施，保障全区对外宣传、形象宣传、项目包装、活动策划、舆情监测及新闻发布及门户网站、公众号运营维护管理等工作顺利完成.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对外宣传次数</w:t>
            </w:r>
          </w:p>
        </w:tc>
        <w:tc>
          <w:tcPr>
            <w:tcW w:w="2891" w:type="dxa"/>
            <w:vAlign w:val="center"/>
          </w:tcPr>
          <w:p>
            <w:pPr>
              <w:pStyle w:val="15"/>
            </w:pPr>
            <w:r>
              <w:t>对外宣传次数</w:t>
            </w:r>
          </w:p>
        </w:tc>
        <w:tc>
          <w:tcPr>
            <w:tcW w:w="1276" w:type="dxa"/>
            <w:vAlign w:val="center"/>
          </w:tcPr>
          <w:p>
            <w:pPr>
              <w:pStyle w:val="15"/>
            </w:pPr>
            <w:r>
              <w:t>≥10次</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实际完成率</w:t>
            </w:r>
          </w:p>
        </w:tc>
        <w:tc>
          <w:tcPr>
            <w:tcW w:w="2891" w:type="dxa"/>
            <w:vAlign w:val="center"/>
          </w:tcPr>
          <w:p>
            <w:pPr>
              <w:pStyle w:val="15"/>
            </w:pPr>
            <w:r>
              <w:t>完成工作的质量比率</w:t>
            </w:r>
          </w:p>
        </w:tc>
        <w:tc>
          <w:tcPr>
            <w:tcW w:w="1276" w:type="dxa"/>
            <w:vAlign w:val="center"/>
          </w:tcPr>
          <w:p>
            <w:pPr>
              <w:pStyle w:val="15"/>
            </w:pPr>
            <w:r>
              <w:t>≥90%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完成及时率</w:t>
            </w:r>
          </w:p>
        </w:tc>
        <w:tc>
          <w:tcPr>
            <w:tcW w:w="2891" w:type="dxa"/>
            <w:vAlign w:val="center"/>
          </w:tcPr>
          <w:p>
            <w:pPr>
              <w:pStyle w:val="15"/>
            </w:pPr>
            <w:r>
              <w:t>考察本项目按计划完成情况等工作</w:t>
            </w:r>
          </w:p>
        </w:tc>
        <w:tc>
          <w:tcPr>
            <w:tcW w:w="1276" w:type="dxa"/>
            <w:vAlign w:val="center"/>
          </w:tcPr>
          <w:p>
            <w:pPr>
              <w:pStyle w:val="15"/>
            </w:pPr>
            <w:r>
              <w:t>≥30天</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考察项目单个成本是否超出计划成本的情况。</w:t>
            </w:r>
          </w:p>
        </w:tc>
        <w:tc>
          <w:tcPr>
            <w:tcW w:w="1276" w:type="dxa"/>
            <w:vAlign w:val="center"/>
          </w:tcPr>
          <w:p>
            <w:pPr>
              <w:pStyle w:val="15"/>
            </w:pPr>
            <w:r>
              <w:t>≤10万元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燕郊高新区管委会影响力社会提高</w:t>
            </w:r>
          </w:p>
        </w:tc>
        <w:tc>
          <w:tcPr>
            <w:tcW w:w="2891" w:type="dxa"/>
            <w:vAlign w:val="center"/>
          </w:tcPr>
          <w:p>
            <w:pPr>
              <w:pStyle w:val="15"/>
            </w:pPr>
            <w:r>
              <w:t>考察燕郊高新管委会影响力社会提高情况</w:t>
            </w:r>
          </w:p>
        </w:tc>
        <w:tc>
          <w:tcPr>
            <w:tcW w:w="1276" w:type="dxa"/>
            <w:vAlign w:val="center"/>
          </w:tcPr>
          <w:p>
            <w:pPr>
              <w:pStyle w:val="15"/>
            </w:pPr>
            <w:r>
              <w:t>大幅度减少负面影响</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受益方满意度</w:t>
            </w:r>
          </w:p>
        </w:tc>
        <w:tc>
          <w:tcPr>
            <w:tcW w:w="2891" w:type="dxa"/>
            <w:vAlign w:val="center"/>
          </w:tcPr>
          <w:p>
            <w:pPr>
              <w:pStyle w:val="15"/>
            </w:pPr>
            <w:r>
              <w:t>考察燕郊高新区管委会各部门满意度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8" w:name="_Toc_4_4_0000000032"/>
      <w:r>
        <w:rPr>
          <w:rFonts w:ascii="方正仿宋_GBK" w:hAnsi="方正仿宋_GBK" w:eastAsia="方正仿宋_GBK" w:cs="方正仿宋_GBK"/>
          <w:color w:val="000000"/>
          <w:sz w:val="28"/>
        </w:rPr>
        <w:t>29.招商引资经费绩效目标表</w:t>
      </w:r>
      <w:bookmarkEnd w:id="2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1.通过项目的开展实现公平营商环境等战略，保障招商引资的确切实行的实现。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举办招商引资活动数量（个）</w:t>
            </w:r>
          </w:p>
        </w:tc>
        <w:tc>
          <w:tcPr>
            <w:tcW w:w="2891" w:type="dxa"/>
            <w:vAlign w:val="center"/>
          </w:tcPr>
          <w:p>
            <w:pPr>
              <w:pStyle w:val="15"/>
            </w:pPr>
            <w:r>
              <w:t>举办招商引资活动的数量</w:t>
            </w:r>
          </w:p>
        </w:tc>
        <w:tc>
          <w:tcPr>
            <w:tcW w:w="1276" w:type="dxa"/>
            <w:vAlign w:val="center"/>
          </w:tcPr>
          <w:p>
            <w:pPr>
              <w:pStyle w:val="15"/>
            </w:pPr>
            <w:r>
              <w:t>≥3个</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工作完成率</w:t>
            </w:r>
          </w:p>
        </w:tc>
        <w:tc>
          <w:tcPr>
            <w:tcW w:w="2891" w:type="dxa"/>
            <w:vAlign w:val="center"/>
          </w:tcPr>
          <w:p>
            <w:pPr>
              <w:pStyle w:val="15"/>
            </w:pPr>
            <w:r>
              <w:t>工作完成率</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工作任务完成及时率</w:t>
            </w:r>
          </w:p>
        </w:tc>
        <w:tc>
          <w:tcPr>
            <w:tcW w:w="2891" w:type="dxa"/>
            <w:vAlign w:val="center"/>
          </w:tcPr>
          <w:p>
            <w:pPr>
              <w:pStyle w:val="15"/>
            </w:pPr>
            <w:r>
              <w:t>工作任务完成及时率</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单次成本</w:t>
            </w:r>
          </w:p>
        </w:tc>
        <w:tc>
          <w:tcPr>
            <w:tcW w:w="2891" w:type="dxa"/>
            <w:vAlign w:val="center"/>
          </w:tcPr>
          <w:p>
            <w:pPr>
              <w:pStyle w:val="15"/>
            </w:pPr>
            <w:r>
              <w:t>单次成本控制在预算额度内</w:t>
            </w:r>
          </w:p>
        </w:tc>
        <w:tc>
          <w:tcPr>
            <w:tcW w:w="1276" w:type="dxa"/>
            <w:vAlign w:val="center"/>
          </w:tcPr>
          <w:p>
            <w:pPr>
              <w:pStyle w:val="15"/>
            </w:pPr>
            <w:r>
              <w:t>≤30万元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提供优质服务</w:t>
            </w:r>
          </w:p>
        </w:tc>
        <w:tc>
          <w:tcPr>
            <w:tcW w:w="2891" w:type="dxa"/>
            <w:vAlign w:val="center"/>
          </w:tcPr>
          <w:p>
            <w:pPr>
              <w:pStyle w:val="15"/>
            </w:pPr>
            <w:r>
              <w:t>提供优质服务</w:t>
            </w:r>
          </w:p>
        </w:tc>
        <w:tc>
          <w:tcPr>
            <w:tcW w:w="1276" w:type="dxa"/>
            <w:vAlign w:val="center"/>
          </w:tcPr>
          <w:p>
            <w:pPr>
              <w:pStyle w:val="15"/>
            </w:pPr>
            <w:r>
              <w:t>受益企业调查</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电话回访</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9" w:name="_Toc_4_4_0000000033"/>
      <w:r>
        <w:rPr>
          <w:rFonts w:ascii="方正仿宋_GBK" w:hAnsi="方正仿宋_GBK" w:eastAsia="方正仿宋_GBK" w:cs="方正仿宋_GBK"/>
          <w:color w:val="000000"/>
          <w:sz w:val="28"/>
        </w:rPr>
        <w:t>30.道路设施建设项目绩效目标表</w:t>
      </w:r>
      <w:bookmarkEnd w:id="2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1.通过对燕郊高新区区域内道路设施建设项目的提升，促进燕郊高新区稳定发展。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道路长度</w:t>
            </w:r>
          </w:p>
        </w:tc>
        <w:tc>
          <w:tcPr>
            <w:tcW w:w="2891" w:type="dxa"/>
            <w:vAlign w:val="center"/>
          </w:tcPr>
          <w:p>
            <w:pPr>
              <w:pStyle w:val="15"/>
            </w:pPr>
            <w:r>
              <w:t>道路长度</w:t>
            </w:r>
          </w:p>
        </w:tc>
        <w:tc>
          <w:tcPr>
            <w:tcW w:w="1276" w:type="dxa"/>
            <w:vAlign w:val="center"/>
          </w:tcPr>
          <w:p>
            <w:pPr>
              <w:pStyle w:val="15"/>
            </w:pPr>
            <w:r>
              <w:t>≥1000米</w:t>
            </w:r>
          </w:p>
        </w:tc>
        <w:tc>
          <w:tcPr>
            <w:tcW w:w="1843" w:type="dxa"/>
            <w:vAlign w:val="center"/>
          </w:tcPr>
          <w:p>
            <w:pPr>
              <w:pStyle w:val="15"/>
            </w:pPr>
            <w:r>
              <w:t>可研批复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道路单价</w:t>
            </w:r>
          </w:p>
        </w:tc>
        <w:tc>
          <w:tcPr>
            <w:tcW w:w="2891" w:type="dxa"/>
            <w:vAlign w:val="center"/>
          </w:tcPr>
          <w:p>
            <w:pPr>
              <w:pStyle w:val="15"/>
            </w:pPr>
            <w:r>
              <w:t>道路每米单价</w:t>
            </w:r>
          </w:p>
        </w:tc>
        <w:tc>
          <w:tcPr>
            <w:tcW w:w="1276" w:type="dxa"/>
            <w:vAlign w:val="center"/>
          </w:tcPr>
          <w:p>
            <w:pPr>
              <w:pStyle w:val="15"/>
            </w:pPr>
            <w:r>
              <w:t>≤1.3万元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≥92%</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0" w:name="_Toc_4_4_0000000034"/>
      <w:r>
        <w:rPr>
          <w:rFonts w:ascii="方正仿宋_GBK" w:hAnsi="方正仿宋_GBK" w:eastAsia="方正仿宋_GBK" w:cs="方正仿宋_GBK"/>
          <w:color w:val="000000"/>
          <w:sz w:val="28"/>
        </w:rPr>
        <w:t>31.发展规划项目（一般）绩效目标表</w:t>
      </w:r>
      <w:bookmarkEnd w:id="3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1.通过项目的开展实现燕郊以交通为基础的发展模式，改善城市环境、交通状况，提升燕郊整体发展水平。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方案数量</w:t>
            </w:r>
          </w:p>
        </w:tc>
        <w:tc>
          <w:tcPr>
            <w:tcW w:w="2891" w:type="dxa"/>
            <w:vAlign w:val="center"/>
          </w:tcPr>
          <w:p>
            <w:pPr>
              <w:pStyle w:val="15"/>
            </w:pPr>
            <w:r>
              <w:t>站点TOD城市设计方案</w:t>
            </w:r>
          </w:p>
        </w:tc>
        <w:tc>
          <w:tcPr>
            <w:tcW w:w="1276" w:type="dxa"/>
            <w:vAlign w:val="center"/>
          </w:tcPr>
          <w:p>
            <w:pPr>
              <w:pStyle w:val="15"/>
            </w:pPr>
            <w:r>
              <w:t>1本</w:t>
            </w:r>
          </w:p>
        </w:tc>
        <w:tc>
          <w:tcPr>
            <w:tcW w:w="1843"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方案完成率</w:t>
            </w:r>
          </w:p>
        </w:tc>
        <w:tc>
          <w:tcPr>
            <w:tcW w:w="2891" w:type="dxa"/>
            <w:vAlign w:val="center"/>
          </w:tcPr>
          <w:p>
            <w:pPr>
              <w:pStyle w:val="15"/>
            </w:pPr>
            <w:r>
              <w:t>项目验收合格完成的方案占合同要求的比率</w:t>
            </w:r>
          </w:p>
        </w:tc>
        <w:tc>
          <w:tcPr>
            <w:tcW w:w="1276" w:type="dxa"/>
            <w:vAlign w:val="center"/>
          </w:tcPr>
          <w:p>
            <w:pPr>
              <w:pStyle w:val="15"/>
            </w:pPr>
            <w:r>
              <w:t>100%</w:t>
            </w:r>
          </w:p>
        </w:tc>
        <w:tc>
          <w:tcPr>
            <w:tcW w:w="1843"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完成时间</w:t>
            </w:r>
          </w:p>
        </w:tc>
        <w:tc>
          <w:tcPr>
            <w:tcW w:w="2891" w:type="dxa"/>
            <w:vAlign w:val="center"/>
          </w:tcPr>
          <w:p>
            <w:pPr>
              <w:pStyle w:val="15"/>
            </w:pPr>
            <w:r>
              <w:t>TOD城市设计方案编制完成时间</w:t>
            </w:r>
          </w:p>
        </w:tc>
        <w:tc>
          <w:tcPr>
            <w:tcW w:w="1276" w:type="dxa"/>
            <w:vAlign w:val="center"/>
          </w:tcPr>
          <w:p>
            <w:pPr>
              <w:pStyle w:val="15"/>
            </w:pPr>
            <w:r>
              <w:t>≤12月</w:t>
            </w:r>
          </w:p>
        </w:tc>
        <w:tc>
          <w:tcPr>
            <w:tcW w:w="1843"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站点单价</w:t>
            </w:r>
          </w:p>
        </w:tc>
        <w:tc>
          <w:tcPr>
            <w:tcW w:w="2891" w:type="dxa"/>
            <w:vAlign w:val="center"/>
          </w:tcPr>
          <w:p>
            <w:pPr>
              <w:pStyle w:val="15"/>
            </w:pPr>
            <w:r>
              <w:t>每个站点方案设计费用</w:t>
            </w:r>
          </w:p>
        </w:tc>
        <w:tc>
          <w:tcPr>
            <w:tcW w:w="1276" w:type="dxa"/>
            <w:vAlign w:val="center"/>
          </w:tcPr>
          <w:p>
            <w:pPr>
              <w:pStyle w:val="15"/>
            </w:pPr>
            <w:r>
              <w:t>≤322.75万元</w:t>
            </w:r>
          </w:p>
        </w:tc>
        <w:tc>
          <w:tcPr>
            <w:tcW w:w="1843" w:type="dxa"/>
            <w:vAlign w:val="center"/>
          </w:tcPr>
          <w:p>
            <w:pPr>
              <w:pStyle w:val="15"/>
            </w:pPr>
            <w:r>
              <w:t>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通过TOD建设提升城市竞争力，实现城市轨道交通的可持续发展</w:t>
            </w:r>
          </w:p>
        </w:tc>
        <w:tc>
          <w:tcPr>
            <w:tcW w:w="1276" w:type="dxa"/>
            <w:vAlign w:val="center"/>
          </w:tcPr>
          <w:p>
            <w:pPr>
              <w:pStyle w:val="15"/>
            </w:pPr>
            <w:r>
              <w:t>提高城市竞争力</w:t>
            </w:r>
          </w:p>
        </w:tc>
        <w:tc>
          <w:tcPr>
            <w:tcW w:w="1843" w:type="dxa"/>
            <w:vAlign w:val="center"/>
          </w:tcPr>
          <w:p>
            <w:pPr>
              <w:pStyle w:val="15"/>
            </w:pPr>
            <w:r>
              <w:t>《国务院办公厅关于进一步加强城市轨道交通规划建设管理的意见》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使用人员满意度</w:t>
            </w:r>
          </w:p>
        </w:tc>
        <w:tc>
          <w:tcPr>
            <w:tcW w:w="2891" w:type="dxa"/>
            <w:vAlign w:val="center"/>
          </w:tcPr>
          <w:p>
            <w:pPr>
              <w:pStyle w:val="15"/>
            </w:pPr>
            <w:r>
              <w:t>对使用人员调查中满意人数占调查人数的比率</w:t>
            </w:r>
          </w:p>
        </w:tc>
        <w:tc>
          <w:tcPr>
            <w:tcW w:w="1276" w:type="dxa"/>
            <w:vAlign w:val="center"/>
          </w:tcPr>
          <w:p>
            <w:pPr>
              <w:pStyle w:val="15"/>
            </w:pPr>
            <w:r>
              <w:t>≥95%</w:t>
            </w:r>
          </w:p>
        </w:tc>
        <w:tc>
          <w:tcPr>
            <w:tcW w:w="1843" w:type="dxa"/>
            <w:vAlign w:val="center"/>
          </w:tcPr>
          <w:p>
            <w:pPr>
              <w:pStyle w:val="15"/>
            </w:pPr>
            <w:r>
              <w:t>电话回访</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1" w:name="_Toc_4_4_0000000035"/>
      <w:r>
        <w:rPr>
          <w:rFonts w:ascii="方正仿宋_GBK" w:hAnsi="方正仿宋_GBK" w:eastAsia="方正仿宋_GBK" w:cs="方正仿宋_GBK"/>
          <w:color w:val="000000"/>
          <w:sz w:val="28"/>
        </w:rPr>
        <w:t>32.环保治理项目绩效目标表</w:t>
      </w:r>
      <w:bookmarkEnd w:id="3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1.通过对燕郊高新区区域内环保治理建设项目的提升，促进燕郊高新区稳定发展。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日处理吨数</w:t>
            </w:r>
          </w:p>
        </w:tc>
        <w:tc>
          <w:tcPr>
            <w:tcW w:w="2891" w:type="dxa"/>
            <w:vAlign w:val="center"/>
          </w:tcPr>
          <w:p>
            <w:pPr>
              <w:pStyle w:val="15"/>
            </w:pPr>
            <w:r>
              <w:t>日处理污水吨数</w:t>
            </w:r>
          </w:p>
        </w:tc>
        <w:tc>
          <w:tcPr>
            <w:tcW w:w="1276" w:type="dxa"/>
            <w:vAlign w:val="center"/>
          </w:tcPr>
          <w:p>
            <w:pPr>
              <w:pStyle w:val="15"/>
            </w:pPr>
            <w:r>
              <w:t>≥5万吨</w:t>
            </w:r>
          </w:p>
        </w:tc>
        <w:tc>
          <w:tcPr>
            <w:tcW w:w="1843" w:type="dxa"/>
            <w:vAlign w:val="center"/>
          </w:tcPr>
          <w:p>
            <w:pPr>
              <w:pStyle w:val="15"/>
            </w:pPr>
            <w:r>
              <w:t>可研批复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每吨污水处理费控制在预算范围内</w:t>
            </w:r>
          </w:p>
        </w:tc>
        <w:tc>
          <w:tcPr>
            <w:tcW w:w="1276" w:type="dxa"/>
            <w:vAlign w:val="center"/>
          </w:tcPr>
          <w:p>
            <w:pPr>
              <w:pStyle w:val="15"/>
            </w:pPr>
            <w:r>
              <w:t>≤0.5万元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2" w:name="_Toc_4_4_0000000036"/>
      <w:r>
        <w:rPr>
          <w:rFonts w:ascii="方正仿宋_GBK" w:hAnsi="方正仿宋_GBK" w:eastAsia="方正仿宋_GBK" w:cs="方正仿宋_GBK"/>
          <w:color w:val="000000"/>
          <w:sz w:val="28"/>
        </w:rPr>
        <w:t>33.教育发展项目绩效目标表</w:t>
      </w:r>
      <w:bookmarkEnd w:id="3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1.通过学校项目建设提供我区教育基础设施整体水平。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建设总面积</w:t>
            </w:r>
          </w:p>
        </w:tc>
        <w:tc>
          <w:tcPr>
            <w:tcW w:w="2891" w:type="dxa"/>
            <w:vAlign w:val="center"/>
          </w:tcPr>
          <w:p>
            <w:pPr>
              <w:pStyle w:val="15"/>
            </w:pPr>
            <w:r>
              <w:t>燕南学校总建筑面积</w:t>
            </w:r>
          </w:p>
        </w:tc>
        <w:tc>
          <w:tcPr>
            <w:tcW w:w="1276" w:type="dxa"/>
            <w:vAlign w:val="center"/>
          </w:tcPr>
          <w:p>
            <w:pPr>
              <w:pStyle w:val="15"/>
            </w:pPr>
            <w:r>
              <w:t>≥20325.34平方米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建筑项目单价</w:t>
            </w:r>
          </w:p>
        </w:tc>
        <w:tc>
          <w:tcPr>
            <w:tcW w:w="2891" w:type="dxa"/>
            <w:vAlign w:val="center"/>
          </w:tcPr>
          <w:p>
            <w:pPr>
              <w:pStyle w:val="15"/>
            </w:pPr>
            <w:r>
              <w:t>燕南学校项目建设单价</w:t>
            </w:r>
          </w:p>
        </w:tc>
        <w:tc>
          <w:tcPr>
            <w:tcW w:w="1276" w:type="dxa"/>
            <w:vAlign w:val="center"/>
          </w:tcPr>
          <w:p>
            <w:pPr>
              <w:pStyle w:val="15"/>
            </w:pPr>
            <w:r>
              <w:t>≤4500元/平方米</w:t>
            </w:r>
          </w:p>
        </w:tc>
        <w:tc>
          <w:tcPr>
            <w:tcW w:w="1843" w:type="dxa"/>
            <w:vAlign w:val="center"/>
          </w:tcPr>
          <w:p>
            <w:pPr>
              <w:pStyle w:val="15"/>
            </w:pPr>
            <w:r>
              <w:t>结算审计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3" w:name="_Toc_4_4_0000000037"/>
      <w:r>
        <w:rPr>
          <w:rFonts w:ascii="方正仿宋_GBK" w:hAnsi="方正仿宋_GBK" w:eastAsia="方正仿宋_GBK" w:cs="方正仿宋_GBK"/>
          <w:color w:val="000000"/>
          <w:sz w:val="28"/>
        </w:rPr>
        <w:t>34.经一路工程绩效目标表</w:t>
      </w:r>
      <w:bookmarkEnd w:id="3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1.通过修建道路，完善周边基础设施配套，方便企业和居民出行。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新建长度</w:t>
            </w:r>
          </w:p>
        </w:tc>
        <w:tc>
          <w:tcPr>
            <w:tcW w:w="2891" w:type="dxa"/>
            <w:vAlign w:val="center"/>
          </w:tcPr>
          <w:p>
            <w:pPr>
              <w:pStyle w:val="15"/>
            </w:pPr>
            <w:r>
              <w:t>新建长度</w:t>
            </w:r>
          </w:p>
        </w:tc>
        <w:tc>
          <w:tcPr>
            <w:tcW w:w="1276" w:type="dxa"/>
            <w:vAlign w:val="center"/>
          </w:tcPr>
          <w:p>
            <w:pPr>
              <w:pStyle w:val="15"/>
            </w:pPr>
            <w:r>
              <w:t>≤782.18米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通过验收工程量占总量百分比</w:t>
            </w:r>
          </w:p>
        </w:tc>
        <w:tc>
          <w:tcPr>
            <w:tcW w:w="1276" w:type="dxa"/>
            <w:vAlign w:val="center"/>
          </w:tcPr>
          <w:p>
            <w:pPr>
              <w:pStyle w:val="15"/>
            </w:pPr>
            <w:r>
              <w:t>100%</w:t>
            </w:r>
          </w:p>
          <w:p>
            <w:pPr>
              <w:pStyle w:val="15"/>
            </w:pP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完成及时率</w:t>
            </w:r>
          </w:p>
        </w:tc>
        <w:tc>
          <w:tcPr>
            <w:tcW w:w="2891" w:type="dxa"/>
            <w:vAlign w:val="center"/>
          </w:tcPr>
          <w:p>
            <w:pPr>
              <w:pStyle w:val="15"/>
            </w:pPr>
            <w:r>
              <w:t>完工及时率</w:t>
            </w:r>
          </w:p>
        </w:tc>
        <w:tc>
          <w:tcPr>
            <w:tcW w:w="1276" w:type="dxa"/>
            <w:vAlign w:val="center"/>
          </w:tcPr>
          <w:p>
            <w:pPr>
              <w:pStyle w:val="15"/>
            </w:pPr>
            <w:r>
              <w:t>100%</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单价</w:t>
            </w:r>
          </w:p>
        </w:tc>
        <w:tc>
          <w:tcPr>
            <w:tcW w:w="2891" w:type="dxa"/>
            <w:vAlign w:val="center"/>
          </w:tcPr>
          <w:p>
            <w:pPr>
              <w:pStyle w:val="15"/>
            </w:pPr>
            <w:r>
              <w:t>新建道路延米单价</w:t>
            </w:r>
          </w:p>
        </w:tc>
        <w:tc>
          <w:tcPr>
            <w:tcW w:w="1276" w:type="dxa"/>
            <w:vAlign w:val="center"/>
          </w:tcPr>
          <w:p>
            <w:pPr>
              <w:pStyle w:val="15"/>
            </w:pPr>
            <w:r>
              <w:t>≤1.9万元</w:t>
            </w:r>
          </w:p>
        </w:tc>
        <w:tc>
          <w:tcPr>
            <w:tcW w:w="1843" w:type="dxa"/>
            <w:vAlign w:val="center"/>
          </w:tcPr>
          <w:p>
            <w:pPr>
              <w:pStyle w:val="15"/>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资金及时拨付维护社会稳定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受益群体调查满意和较满意人数比率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4" w:name="_Toc_4_4_0000000038"/>
      <w:r>
        <w:rPr>
          <w:rFonts w:ascii="方正仿宋_GBK" w:hAnsi="方正仿宋_GBK" w:eastAsia="方正仿宋_GBK" w:cs="方正仿宋_GBK"/>
          <w:color w:val="000000"/>
          <w:sz w:val="28"/>
        </w:rPr>
        <w:t>35.科技特派员工作补助资金（优秀工作站）绩效目标表</w:t>
      </w:r>
      <w:bookmarkEnd w:id="3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1.通过帮扶企业，促进企业发展。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帮扶企业</w:t>
            </w:r>
          </w:p>
        </w:tc>
        <w:tc>
          <w:tcPr>
            <w:tcW w:w="2891" w:type="dxa"/>
            <w:vAlign w:val="center"/>
          </w:tcPr>
          <w:p>
            <w:pPr>
              <w:pStyle w:val="15"/>
            </w:pPr>
            <w:r>
              <w:t>培训企业</w:t>
            </w:r>
          </w:p>
        </w:tc>
        <w:tc>
          <w:tcPr>
            <w:tcW w:w="1276" w:type="dxa"/>
            <w:vAlign w:val="center"/>
          </w:tcPr>
          <w:p>
            <w:pPr>
              <w:pStyle w:val="15"/>
            </w:pPr>
            <w:r>
              <w:t>≥1个</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奖励发放覆盖率</w:t>
            </w:r>
          </w:p>
        </w:tc>
        <w:tc>
          <w:tcPr>
            <w:tcW w:w="2891" w:type="dxa"/>
            <w:vAlign w:val="center"/>
          </w:tcPr>
          <w:p>
            <w:pPr>
              <w:pStyle w:val="15"/>
            </w:pPr>
            <w:r>
              <w:t>反映已奖励企业占应奖励企业比例</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工作完成及时性</w:t>
            </w:r>
          </w:p>
        </w:tc>
        <w:tc>
          <w:tcPr>
            <w:tcW w:w="2891" w:type="dxa"/>
            <w:vAlign w:val="center"/>
          </w:tcPr>
          <w:p>
            <w:pPr>
              <w:pStyle w:val="15"/>
            </w:pPr>
            <w:r>
              <w:t>领导批复后及时完成工作</w:t>
            </w:r>
          </w:p>
        </w:tc>
        <w:tc>
          <w:tcPr>
            <w:tcW w:w="1276" w:type="dxa"/>
            <w:vAlign w:val="center"/>
          </w:tcPr>
          <w:p>
            <w:pPr>
              <w:pStyle w:val="15"/>
            </w:pPr>
            <w:r>
              <w:t>≤1月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预算控制数</w:t>
            </w:r>
          </w:p>
        </w:tc>
        <w:tc>
          <w:tcPr>
            <w:tcW w:w="2891" w:type="dxa"/>
            <w:vAlign w:val="center"/>
          </w:tcPr>
          <w:p>
            <w:pPr>
              <w:pStyle w:val="15"/>
            </w:pPr>
            <w:r>
              <w:t>单次培训活动成本控制在预算额度内</w:t>
            </w:r>
          </w:p>
        </w:tc>
        <w:tc>
          <w:tcPr>
            <w:tcW w:w="1276" w:type="dxa"/>
            <w:vAlign w:val="center"/>
          </w:tcPr>
          <w:p>
            <w:pPr>
              <w:pStyle w:val="15"/>
            </w:pPr>
            <w:r>
              <w:t>≤1万元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经济发展</w:t>
            </w:r>
          </w:p>
        </w:tc>
        <w:tc>
          <w:tcPr>
            <w:tcW w:w="2891" w:type="dxa"/>
            <w:vAlign w:val="center"/>
          </w:tcPr>
          <w:p>
            <w:pPr>
              <w:pStyle w:val="15"/>
            </w:pPr>
            <w:r>
              <w:t>反映受扶持企业产值增加情况</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5" w:name="_Toc_4_4_0000000039"/>
      <w:r>
        <w:rPr>
          <w:rFonts w:ascii="方正仿宋_GBK" w:hAnsi="方正仿宋_GBK" w:eastAsia="方正仿宋_GBK" w:cs="方正仿宋_GBK"/>
          <w:color w:val="000000"/>
          <w:sz w:val="28"/>
        </w:rPr>
        <w:t>36.留山大街改造工程绩效目标表</w:t>
      </w:r>
      <w:bookmarkEnd w:id="3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1.通过修建道路，方便企业和居民出行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改造长度</w:t>
            </w:r>
          </w:p>
        </w:tc>
        <w:tc>
          <w:tcPr>
            <w:tcW w:w="2891" w:type="dxa"/>
            <w:vAlign w:val="center"/>
          </w:tcPr>
          <w:p>
            <w:pPr>
              <w:pStyle w:val="15"/>
            </w:pPr>
            <w:r>
              <w:t>改造长度</w:t>
            </w:r>
          </w:p>
        </w:tc>
        <w:tc>
          <w:tcPr>
            <w:tcW w:w="1276" w:type="dxa"/>
            <w:vAlign w:val="center"/>
          </w:tcPr>
          <w:p>
            <w:pPr>
              <w:pStyle w:val="15"/>
            </w:pPr>
            <w:r>
              <w:t>≤1761米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通过验收工程量占总量百分比</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完工及时率</w:t>
            </w:r>
          </w:p>
        </w:tc>
        <w:tc>
          <w:tcPr>
            <w:tcW w:w="2891" w:type="dxa"/>
            <w:vAlign w:val="center"/>
          </w:tcPr>
          <w:p>
            <w:pPr>
              <w:pStyle w:val="15"/>
            </w:pPr>
            <w:r>
              <w:t>完工及时率</w:t>
            </w:r>
          </w:p>
        </w:tc>
        <w:tc>
          <w:tcPr>
            <w:tcW w:w="1276" w:type="dxa"/>
            <w:vAlign w:val="center"/>
          </w:tcPr>
          <w:p>
            <w:pPr>
              <w:pStyle w:val="15"/>
            </w:pPr>
            <w:r>
              <w:t>100%</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道路改造延米单价</w:t>
            </w:r>
          </w:p>
        </w:tc>
        <w:tc>
          <w:tcPr>
            <w:tcW w:w="2891" w:type="dxa"/>
            <w:vAlign w:val="center"/>
          </w:tcPr>
          <w:p>
            <w:pPr>
              <w:pStyle w:val="15"/>
            </w:pPr>
            <w:r>
              <w:t>道路与改造延米单价</w:t>
            </w:r>
          </w:p>
        </w:tc>
        <w:tc>
          <w:tcPr>
            <w:tcW w:w="1276" w:type="dxa"/>
            <w:vAlign w:val="center"/>
          </w:tcPr>
          <w:p>
            <w:pPr>
              <w:pStyle w:val="15"/>
            </w:pPr>
            <w:r>
              <w:t>≤17127元</w:t>
            </w:r>
          </w:p>
        </w:tc>
        <w:tc>
          <w:tcPr>
            <w:tcW w:w="1843" w:type="dxa"/>
            <w:vAlign w:val="center"/>
          </w:tcPr>
          <w:p>
            <w:pPr>
              <w:pStyle w:val="15"/>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资金及时拨付维护社会稳定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受益群体调查，满意和较满意人数比率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6" w:name="_Toc_4_4_0000000040"/>
      <w:r>
        <w:rPr>
          <w:rFonts w:ascii="方正仿宋_GBK" w:hAnsi="方正仿宋_GBK" w:eastAsia="方正仿宋_GBK" w:cs="方正仿宋_GBK"/>
          <w:color w:val="000000"/>
          <w:sz w:val="28"/>
        </w:rPr>
        <w:t>37.</w:t>
      </w:r>
      <w:r>
        <w:rPr>
          <w:rFonts w:hint="eastAsia" w:ascii="方正仿宋_GBK" w:hAnsi="方正仿宋_GBK" w:eastAsia="方正仿宋_GBK" w:cs="方正仿宋_GBK"/>
          <w:color w:val="000000"/>
          <w:sz w:val="28"/>
          <w:lang w:eastAsia="zh-CN"/>
        </w:rPr>
        <w:t>其他基础设施建</w:t>
      </w:r>
      <w:r>
        <w:rPr>
          <w:rFonts w:ascii="方正仿宋_GBK" w:hAnsi="方正仿宋_GBK" w:eastAsia="方正仿宋_GBK" w:cs="方正仿宋_GBK"/>
          <w:color w:val="000000"/>
          <w:sz w:val="28"/>
        </w:rPr>
        <w:t>设项目绩效目标表</w:t>
      </w:r>
      <w:bookmarkEnd w:id="3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1.通过对燕郊高新区区域内其他基础设施建设项目的提升，促进燕郊高新区稳定发展。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管道长度</w:t>
            </w:r>
          </w:p>
        </w:tc>
        <w:tc>
          <w:tcPr>
            <w:tcW w:w="2891" w:type="dxa"/>
            <w:vAlign w:val="center"/>
          </w:tcPr>
          <w:p>
            <w:pPr>
              <w:pStyle w:val="15"/>
            </w:pPr>
            <w:r>
              <w:t>修建雨水管道长度</w:t>
            </w:r>
          </w:p>
        </w:tc>
        <w:tc>
          <w:tcPr>
            <w:tcW w:w="1276" w:type="dxa"/>
            <w:vAlign w:val="center"/>
          </w:tcPr>
          <w:p>
            <w:pPr>
              <w:pStyle w:val="15"/>
            </w:pPr>
            <w:r>
              <w:t>≥1000米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管道单价</w:t>
            </w:r>
          </w:p>
        </w:tc>
        <w:tc>
          <w:tcPr>
            <w:tcW w:w="2891" w:type="dxa"/>
            <w:vAlign w:val="center"/>
          </w:tcPr>
          <w:p>
            <w:pPr>
              <w:pStyle w:val="15"/>
            </w:pPr>
            <w:r>
              <w:t>管道每米单价</w:t>
            </w:r>
          </w:p>
        </w:tc>
        <w:tc>
          <w:tcPr>
            <w:tcW w:w="1276" w:type="dxa"/>
            <w:vAlign w:val="center"/>
          </w:tcPr>
          <w:p>
            <w:pPr>
              <w:pStyle w:val="15"/>
            </w:pPr>
            <w:r>
              <w:t>≤1.6万元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7" w:name="_Toc_4_4_0000000041"/>
      <w:r>
        <w:rPr>
          <w:rFonts w:ascii="方正仿宋_GBK" w:hAnsi="方正仿宋_GBK" w:eastAsia="方正仿宋_GBK" w:cs="方正仿宋_GBK"/>
          <w:color w:val="000000"/>
          <w:sz w:val="28"/>
        </w:rPr>
        <w:t>38.</w:t>
      </w:r>
      <w:r>
        <w:rPr>
          <w:rFonts w:hint="eastAsia" w:ascii="方正仿宋_GBK" w:hAnsi="方正仿宋_GBK" w:eastAsia="方正仿宋_GBK" w:cs="方正仿宋_GBK"/>
          <w:color w:val="000000"/>
          <w:sz w:val="28"/>
          <w:lang w:eastAsia="zh-CN"/>
        </w:rPr>
        <w:t>其他基础设施建</w:t>
      </w:r>
      <w:r>
        <w:rPr>
          <w:rFonts w:ascii="方正仿宋_GBK" w:hAnsi="方正仿宋_GBK" w:eastAsia="方正仿宋_GBK" w:cs="方正仿宋_GBK"/>
          <w:color w:val="000000"/>
          <w:sz w:val="28"/>
        </w:rPr>
        <w:t>设项目（一般）绩效目标表</w:t>
      </w:r>
      <w:bookmarkEnd w:id="3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1.通过对燕郊高新区区域内其他基础设施建设项目的提升，促进燕郊高新区稳定发展。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管道长度</w:t>
            </w:r>
          </w:p>
        </w:tc>
        <w:tc>
          <w:tcPr>
            <w:tcW w:w="2891" w:type="dxa"/>
            <w:vAlign w:val="center"/>
          </w:tcPr>
          <w:p>
            <w:pPr>
              <w:pStyle w:val="15"/>
            </w:pPr>
            <w:r>
              <w:t>修建雨水管道长度</w:t>
            </w:r>
          </w:p>
        </w:tc>
        <w:tc>
          <w:tcPr>
            <w:tcW w:w="1276" w:type="dxa"/>
            <w:vAlign w:val="center"/>
          </w:tcPr>
          <w:p>
            <w:pPr>
              <w:pStyle w:val="15"/>
            </w:pPr>
            <w:r>
              <w:t>≥800米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管道单价</w:t>
            </w:r>
          </w:p>
        </w:tc>
        <w:tc>
          <w:tcPr>
            <w:tcW w:w="2891" w:type="dxa"/>
            <w:vAlign w:val="center"/>
          </w:tcPr>
          <w:p>
            <w:pPr>
              <w:pStyle w:val="15"/>
            </w:pPr>
            <w:r>
              <w:t>管道每米单价</w:t>
            </w:r>
          </w:p>
        </w:tc>
        <w:tc>
          <w:tcPr>
            <w:tcW w:w="1276" w:type="dxa"/>
            <w:vAlign w:val="center"/>
          </w:tcPr>
          <w:p>
            <w:pPr>
              <w:pStyle w:val="15"/>
            </w:pPr>
            <w:r>
              <w:t>≤1.6万元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8" w:name="_Toc_4_4_0000000042"/>
      <w:r>
        <w:rPr>
          <w:rFonts w:ascii="方正仿宋_GBK" w:hAnsi="方正仿宋_GBK" w:eastAsia="方正仿宋_GBK" w:cs="方正仿宋_GBK"/>
          <w:color w:val="000000"/>
          <w:sz w:val="28"/>
        </w:rPr>
        <w:t>39.</w:t>
      </w:r>
      <w:r>
        <w:rPr>
          <w:rFonts w:hint="eastAsia" w:ascii="方正仿宋_GBK" w:hAnsi="方正仿宋_GBK" w:eastAsia="方正仿宋_GBK" w:cs="方正仿宋_GBK"/>
          <w:color w:val="000000"/>
          <w:sz w:val="28"/>
          <w:lang w:eastAsia="zh-CN"/>
        </w:rPr>
        <w:t>其他基础设施建</w:t>
      </w:r>
      <w:r>
        <w:rPr>
          <w:rFonts w:ascii="方正仿宋_GBK" w:hAnsi="方正仿宋_GBK" w:eastAsia="方正仿宋_GBK" w:cs="方正仿宋_GBK"/>
          <w:color w:val="000000"/>
          <w:sz w:val="28"/>
        </w:rPr>
        <w:t>设项目（一般）绩效目标表</w:t>
      </w:r>
      <w:bookmarkEnd w:id="3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1.通过对燕郊高新区区域内其他基础设施建设项目的提升，促进燕郊高新区稳定发展。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管道长度</w:t>
            </w:r>
          </w:p>
        </w:tc>
        <w:tc>
          <w:tcPr>
            <w:tcW w:w="2891" w:type="dxa"/>
            <w:vAlign w:val="center"/>
          </w:tcPr>
          <w:p>
            <w:pPr>
              <w:pStyle w:val="15"/>
            </w:pPr>
            <w:r>
              <w:t>修建雨水管道长度</w:t>
            </w:r>
          </w:p>
        </w:tc>
        <w:tc>
          <w:tcPr>
            <w:tcW w:w="1276" w:type="dxa"/>
            <w:vAlign w:val="center"/>
          </w:tcPr>
          <w:p>
            <w:pPr>
              <w:pStyle w:val="15"/>
            </w:pPr>
            <w:r>
              <w:t>≥800米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管道单价</w:t>
            </w:r>
          </w:p>
        </w:tc>
        <w:tc>
          <w:tcPr>
            <w:tcW w:w="2891" w:type="dxa"/>
            <w:vAlign w:val="center"/>
          </w:tcPr>
          <w:p>
            <w:pPr>
              <w:pStyle w:val="15"/>
            </w:pPr>
            <w:r>
              <w:t>管道每米单价</w:t>
            </w:r>
          </w:p>
        </w:tc>
        <w:tc>
          <w:tcPr>
            <w:tcW w:w="1276" w:type="dxa"/>
            <w:vAlign w:val="center"/>
          </w:tcPr>
          <w:p>
            <w:pPr>
              <w:pStyle w:val="15"/>
            </w:pPr>
            <w:r>
              <w:t>≤1.6万元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9" w:name="_Toc_4_4_0000000043"/>
      <w:r>
        <w:rPr>
          <w:rFonts w:ascii="方正仿宋_GBK" w:hAnsi="方正仿宋_GBK" w:eastAsia="方正仿宋_GBK" w:cs="方正仿宋_GBK"/>
          <w:color w:val="000000"/>
          <w:sz w:val="28"/>
        </w:rPr>
        <w:t>40.容貌改善项目绩效目标表</w:t>
      </w:r>
      <w:bookmarkEnd w:id="3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1.通过对燕郊高新区区域内容貌改善项目的提升，促进燕郊高新区稳定发展。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种植树木棵树</w:t>
            </w:r>
          </w:p>
        </w:tc>
        <w:tc>
          <w:tcPr>
            <w:tcW w:w="2891" w:type="dxa"/>
            <w:vAlign w:val="center"/>
          </w:tcPr>
          <w:p>
            <w:pPr>
              <w:pStyle w:val="15"/>
            </w:pPr>
            <w:r>
              <w:t>种植树木棵树</w:t>
            </w:r>
          </w:p>
        </w:tc>
        <w:tc>
          <w:tcPr>
            <w:tcW w:w="1276" w:type="dxa"/>
            <w:vAlign w:val="center"/>
          </w:tcPr>
          <w:p>
            <w:pPr>
              <w:pStyle w:val="15"/>
            </w:pPr>
            <w:r>
              <w:t>≥100棵</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树木单价</w:t>
            </w:r>
          </w:p>
        </w:tc>
        <w:tc>
          <w:tcPr>
            <w:tcW w:w="2891" w:type="dxa"/>
            <w:vAlign w:val="center"/>
          </w:tcPr>
          <w:p>
            <w:pPr>
              <w:pStyle w:val="15"/>
            </w:pPr>
            <w:r>
              <w:t>树木单价</w:t>
            </w:r>
          </w:p>
        </w:tc>
        <w:tc>
          <w:tcPr>
            <w:tcW w:w="1276" w:type="dxa"/>
            <w:vAlign w:val="center"/>
          </w:tcPr>
          <w:p>
            <w:pPr>
              <w:pStyle w:val="15"/>
            </w:pPr>
            <w:r>
              <w:t>≤0.5万元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0" w:name="_Toc_4_4_0000000044"/>
      <w:r>
        <w:rPr>
          <w:rFonts w:ascii="方正仿宋_GBK" w:hAnsi="方正仿宋_GBK" w:eastAsia="方正仿宋_GBK" w:cs="方正仿宋_GBK"/>
          <w:color w:val="000000"/>
          <w:sz w:val="28"/>
        </w:rPr>
        <w:t>41.容貌改善项目（一般）绩效目标表</w:t>
      </w:r>
      <w:bookmarkEnd w:id="4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1.通过对燕郊高新区区域内容貌改善项目的提升，促进燕郊高新区稳定发展。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种植树木棵树</w:t>
            </w:r>
          </w:p>
        </w:tc>
        <w:tc>
          <w:tcPr>
            <w:tcW w:w="2891" w:type="dxa"/>
            <w:vAlign w:val="center"/>
          </w:tcPr>
          <w:p>
            <w:pPr>
              <w:pStyle w:val="15"/>
            </w:pPr>
            <w:r>
              <w:t>种植树木棵树</w:t>
            </w:r>
          </w:p>
        </w:tc>
        <w:tc>
          <w:tcPr>
            <w:tcW w:w="1276" w:type="dxa"/>
            <w:vAlign w:val="center"/>
          </w:tcPr>
          <w:p>
            <w:pPr>
              <w:pStyle w:val="15"/>
            </w:pPr>
            <w:r>
              <w:t>≥100棵</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树木单价</w:t>
            </w:r>
          </w:p>
        </w:tc>
        <w:tc>
          <w:tcPr>
            <w:tcW w:w="2891" w:type="dxa"/>
            <w:vAlign w:val="center"/>
          </w:tcPr>
          <w:p>
            <w:pPr>
              <w:pStyle w:val="15"/>
            </w:pPr>
            <w:r>
              <w:t>树木单价</w:t>
            </w:r>
          </w:p>
        </w:tc>
        <w:tc>
          <w:tcPr>
            <w:tcW w:w="1276" w:type="dxa"/>
            <w:vAlign w:val="center"/>
          </w:tcPr>
          <w:p>
            <w:pPr>
              <w:pStyle w:val="15"/>
            </w:pPr>
            <w:r>
              <w:t>≤0.5万元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1" w:name="_Toc_4_4_0000000045"/>
      <w:r>
        <w:rPr>
          <w:rFonts w:ascii="方正仿宋_GBK" w:hAnsi="方正仿宋_GBK" w:eastAsia="方正仿宋_GBK" w:cs="方正仿宋_GBK"/>
          <w:color w:val="000000"/>
          <w:sz w:val="28"/>
        </w:rPr>
        <w:t>42.挺秀实验学校新建工程绩效目标表</w:t>
      </w:r>
      <w:bookmarkEnd w:id="4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1.通过新建挺秀实验学校，为棚户区改造回迁安置小区配套中小学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新建平米数</w:t>
            </w:r>
          </w:p>
        </w:tc>
        <w:tc>
          <w:tcPr>
            <w:tcW w:w="2891" w:type="dxa"/>
            <w:vAlign w:val="center"/>
          </w:tcPr>
          <w:p>
            <w:pPr>
              <w:pStyle w:val="15"/>
            </w:pPr>
            <w:r>
              <w:t>新建学校平米数</w:t>
            </w:r>
          </w:p>
        </w:tc>
        <w:tc>
          <w:tcPr>
            <w:tcW w:w="1276" w:type="dxa"/>
            <w:vAlign w:val="center"/>
          </w:tcPr>
          <w:p>
            <w:pPr>
              <w:pStyle w:val="15"/>
            </w:pPr>
            <w:r>
              <w:t>≥50000平米</w:t>
            </w:r>
          </w:p>
        </w:tc>
        <w:tc>
          <w:tcPr>
            <w:tcW w:w="1843"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验收合格率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新建学校完工及时性</w:t>
            </w:r>
          </w:p>
        </w:tc>
        <w:tc>
          <w:tcPr>
            <w:tcW w:w="1276" w:type="dxa"/>
            <w:vAlign w:val="center"/>
          </w:tcPr>
          <w:p>
            <w:pPr>
              <w:pStyle w:val="15"/>
            </w:pPr>
            <w:r>
              <w:t>按合同要求按时完工</w:t>
            </w:r>
          </w:p>
        </w:tc>
        <w:tc>
          <w:tcPr>
            <w:tcW w:w="1843"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综合单价</w:t>
            </w:r>
          </w:p>
        </w:tc>
        <w:tc>
          <w:tcPr>
            <w:tcW w:w="2891" w:type="dxa"/>
            <w:vAlign w:val="center"/>
          </w:tcPr>
          <w:p>
            <w:pPr>
              <w:pStyle w:val="15"/>
            </w:pPr>
            <w:r>
              <w:t>每平米综合单价</w:t>
            </w:r>
          </w:p>
        </w:tc>
        <w:tc>
          <w:tcPr>
            <w:tcW w:w="1276" w:type="dxa"/>
            <w:vAlign w:val="center"/>
          </w:tcPr>
          <w:p>
            <w:pPr>
              <w:pStyle w:val="15"/>
            </w:pPr>
            <w:r>
              <w:t>≤8000万元</w:t>
            </w:r>
          </w:p>
        </w:tc>
        <w:tc>
          <w:tcPr>
            <w:tcW w:w="1843" w:type="dxa"/>
            <w:vAlign w:val="center"/>
          </w:tcPr>
          <w:p>
            <w:pPr>
              <w:pStyle w:val="1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2" w:name="_Toc_4_4_0000000046"/>
      <w:r>
        <w:rPr>
          <w:rFonts w:ascii="方正仿宋_GBK" w:hAnsi="方正仿宋_GBK" w:eastAsia="方正仿宋_GBK" w:cs="方正仿宋_GBK"/>
          <w:color w:val="000000"/>
          <w:sz w:val="28"/>
        </w:rPr>
        <w:t>43.文体活动项目绩效目标表</w:t>
      </w:r>
      <w:bookmarkEnd w:id="4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1.通过文体活动建设项目提高我区人民幸福指数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建筑面积</w:t>
            </w:r>
          </w:p>
        </w:tc>
        <w:tc>
          <w:tcPr>
            <w:tcW w:w="2891" w:type="dxa"/>
            <w:vAlign w:val="center"/>
          </w:tcPr>
          <w:p>
            <w:pPr>
              <w:pStyle w:val="15"/>
            </w:pPr>
            <w:r>
              <w:t>建设活动中心面积</w:t>
            </w:r>
          </w:p>
        </w:tc>
        <w:tc>
          <w:tcPr>
            <w:tcW w:w="1276" w:type="dxa"/>
            <w:vAlign w:val="center"/>
          </w:tcPr>
          <w:p>
            <w:pPr>
              <w:pStyle w:val="15"/>
            </w:pPr>
            <w:r>
              <w:t>≥2000平米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综合单价</w:t>
            </w:r>
          </w:p>
        </w:tc>
        <w:tc>
          <w:tcPr>
            <w:tcW w:w="2891" w:type="dxa"/>
            <w:vAlign w:val="center"/>
          </w:tcPr>
          <w:p>
            <w:pPr>
              <w:pStyle w:val="15"/>
            </w:pPr>
            <w:r>
              <w:t>每平米综合单价</w:t>
            </w:r>
          </w:p>
        </w:tc>
        <w:tc>
          <w:tcPr>
            <w:tcW w:w="1276" w:type="dxa"/>
            <w:vAlign w:val="center"/>
          </w:tcPr>
          <w:p>
            <w:pPr>
              <w:pStyle w:val="15"/>
            </w:pPr>
            <w:r>
              <w:t>≤0.71万元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3" w:name="_Toc_4_4_0000000047"/>
      <w:r>
        <w:rPr>
          <w:rFonts w:ascii="方正仿宋_GBK" w:hAnsi="方正仿宋_GBK" w:eastAsia="方正仿宋_GBK" w:cs="方正仿宋_GBK"/>
          <w:color w:val="000000"/>
          <w:sz w:val="28"/>
        </w:rPr>
        <w:t>44.下达2022年支持市县科技创新和科学普及专项资金（高新区发展奖励资金）的通知绩效目标表</w:t>
      </w:r>
      <w:bookmarkEnd w:id="4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1.通过促进企业发展，加快科技创新建设。</w:t>
            </w:r>
          </w:p>
          <w:p>
            <w:pPr>
              <w:pStyle w:val="15"/>
            </w:pPr>
            <w:r>
              <w:t>2.通知促进企业发展，加快区内经济发展。</w:t>
            </w:r>
          </w:p>
          <w:p>
            <w:pPr>
              <w:pStyle w:val="15"/>
            </w:pPr>
            <w:r>
              <w:t>3.通过促进企业发展，增加企业产值。</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扶持企业数量</w:t>
            </w:r>
          </w:p>
        </w:tc>
        <w:tc>
          <w:tcPr>
            <w:tcW w:w="2891" w:type="dxa"/>
            <w:vAlign w:val="center"/>
          </w:tcPr>
          <w:p>
            <w:pPr>
              <w:pStyle w:val="15"/>
            </w:pPr>
            <w:r>
              <w:t>获得奖励扶持的企业</w:t>
            </w:r>
          </w:p>
        </w:tc>
        <w:tc>
          <w:tcPr>
            <w:tcW w:w="1276" w:type="dxa"/>
            <w:vAlign w:val="center"/>
          </w:tcPr>
          <w:p>
            <w:pPr>
              <w:pStyle w:val="15"/>
            </w:pPr>
            <w:r>
              <w:t>≥1个</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奖励发放覆盖率</w:t>
            </w:r>
          </w:p>
        </w:tc>
        <w:tc>
          <w:tcPr>
            <w:tcW w:w="2891" w:type="dxa"/>
            <w:vAlign w:val="center"/>
          </w:tcPr>
          <w:p>
            <w:pPr>
              <w:pStyle w:val="15"/>
            </w:pPr>
            <w:r>
              <w:t>反映已奖励企业占应奖励企业比例</w:t>
            </w:r>
          </w:p>
        </w:tc>
        <w:tc>
          <w:tcPr>
            <w:tcW w:w="1276" w:type="dxa"/>
            <w:vAlign w:val="center"/>
          </w:tcPr>
          <w:p>
            <w:pPr>
              <w:pStyle w:val="15"/>
            </w:pPr>
            <w:r>
              <w:t>≥100%</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工作完成及时</w:t>
            </w:r>
          </w:p>
        </w:tc>
        <w:tc>
          <w:tcPr>
            <w:tcW w:w="2891" w:type="dxa"/>
            <w:vAlign w:val="center"/>
          </w:tcPr>
          <w:p>
            <w:pPr>
              <w:pStyle w:val="15"/>
            </w:pPr>
            <w:r>
              <w:t>领导批复后及时完成工作</w:t>
            </w:r>
          </w:p>
        </w:tc>
        <w:tc>
          <w:tcPr>
            <w:tcW w:w="1276" w:type="dxa"/>
            <w:vAlign w:val="center"/>
          </w:tcPr>
          <w:p>
            <w:pPr>
              <w:pStyle w:val="15"/>
            </w:pPr>
            <w:r>
              <w:t>≤1月</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预算控制数</w:t>
            </w:r>
          </w:p>
        </w:tc>
        <w:tc>
          <w:tcPr>
            <w:tcW w:w="2891" w:type="dxa"/>
            <w:vAlign w:val="center"/>
          </w:tcPr>
          <w:p>
            <w:pPr>
              <w:pStyle w:val="15"/>
            </w:pPr>
            <w:r>
              <w:t>单个企业获得奖励资金成本控制在预算额度内</w:t>
            </w:r>
          </w:p>
        </w:tc>
        <w:tc>
          <w:tcPr>
            <w:tcW w:w="1276" w:type="dxa"/>
            <w:vAlign w:val="center"/>
          </w:tcPr>
          <w:p>
            <w:pPr>
              <w:pStyle w:val="15"/>
            </w:pPr>
            <w:r>
              <w:t>≤30万元</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受扶持企业产值增加</w:t>
            </w:r>
          </w:p>
        </w:tc>
        <w:tc>
          <w:tcPr>
            <w:tcW w:w="2891" w:type="dxa"/>
            <w:vAlign w:val="center"/>
          </w:tcPr>
          <w:p>
            <w:pPr>
              <w:pStyle w:val="15"/>
            </w:pPr>
            <w:r>
              <w:t>反映受扶持企业产值增加情况</w:t>
            </w:r>
          </w:p>
        </w:tc>
        <w:tc>
          <w:tcPr>
            <w:tcW w:w="1276" w:type="dxa"/>
            <w:vAlign w:val="center"/>
          </w:tcPr>
          <w:p>
            <w:pPr>
              <w:pStyle w:val="15"/>
            </w:pPr>
            <w:r>
              <w:t>≥95%</w:t>
            </w:r>
          </w:p>
        </w:tc>
        <w:tc>
          <w:tcPr>
            <w:tcW w:w="1843" w:type="dxa"/>
            <w:vAlign w:val="center"/>
          </w:tcPr>
          <w:p>
            <w:pPr>
              <w:pStyle w:val="15"/>
            </w:pPr>
            <w:r>
              <w:t>《关于印发&lt;燕郊高新区内设机构及部门职责&gt;的通知》（三办字[2020]22号）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4" w:name="_Toc_4_4_0000000048"/>
      <w:r>
        <w:rPr>
          <w:rFonts w:ascii="方正仿宋_GBK" w:hAnsi="方正仿宋_GBK" w:eastAsia="方正仿宋_GBK" w:cs="方正仿宋_GBK"/>
          <w:color w:val="000000"/>
          <w:sz w:val="28"/>
        </w:rPr>
        <w:t>45.</w:t>
      </w:r>
      <w:r>
        <w:rPr>
          <w:rFonts w:hint="eastAsia" w:ascii="方正仿宋_GBK" w:hAnsi="方正仿宋_GBK" w:eastAsia="方正仿宋_GBK" w:cs="方正仿宋_GBK"/>
          <w:color w:val="000000"/>
          <w:sz w:val="28"/>
          <w:lang w:eastAsia="zh-CN"/>
        </w:rPr>
        <w:t>燕郊高新技术产业开发区管理委员会</w:t>
      </w:r>
      <w:r>
        <w:rPr>
          <w:rFonts w:ascii="方正仿宋_GBK" w:hAnsi="方正仿宋_GBK" w:eastAsia="方正仿宋_GBK" w:cs="方正仿宋_GBK"/>
          <w:color w:val="000000"/>
          <w:sz w:val="28"/>
        </w:rPr>
        <w:t>东新路北段工程绩效目标表</w:t>
      </w:r>
      <w:bookmarkEnd w:id="4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1.通过项目的开展，完善燕郊基础设施建设，促进燕郊高新区稳定发展。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管道长度</w:t>
            </w:r>
          </w:p>
        </w:tc>
        <w:tc>
          <w:tcPr>
            <w:tcW w:w="2891" w:type="dxa"/>
            <w:vAlign w:val="center"/>
          </w:tcPr>
          <w:p>
            <w:pPr>
              <w:pStyle w:val="15"/>
            </w:pPr>
            <w:r>
              <w:t>雨水管道长度</w:t>
            </w:r>
          </w:p>
        </w:tc>
        <w:tc>
          <w:tcPr>
            <w:tcW w:w="1276" w:type="dxa"/>
            <w:vAlign w:val="center"/>
          </w:tcPr>
          <w:p>
            <w:pPr>
              <w:pStyle w:val="15"/>
            </w:pPr>
            <w:r>
              <w:t>7991米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工程完工及时性</w:t>
            </w:r>
          </w:p>
        </w:tc>
        <w:tc>
          <w:tcPr>
            <w:tcW w:w="2891" w:type="dxa"/>
            <w:vAlign w:val="center"/>
          </w:tcPr>
          <w:p>
            <w:pPr>
              <w:pStyle w:val="15"/>
            </w:pPr>
            <w:r>
              <w:t>工程完工及时性</w:t>
            </w:r>
          </w:p>
        </w:tc>
        <w:tc>
          <w:tcPr>
            <w:tcW w:w="1276" w:type="dxa"/>
            <w:vAlign w:val="center"/>
          </w:tcPr>
          <w:p>
            <w:pPr>
              <w:pStyle w:val="15"/>
            </w:pPr>
            <w:r>
              <w:t>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综合单价</w:t>
            </w:r>
          </w:p>
        </w:tc>
        <w:tc>
          <w:tcPr>
            <w:tcW w:w="2891" w:type="dxa"/>
            <w:vAlign w:val="center"/>
          </w:tcPr>
          <w:p>
            <w:pPr>
              <w:pStyle w:val="15"/>
            </w:pPr>
            <w:r>
              <w:t>雨水管道综合单价</w:t>
            </w:r>
          </w:p>
        </w:tc>
        <w:tc>
          <w:tcPr>
            <w:tcW w:w="1276" w:type="dxa"/>
            <w:vAlign w:val="center"/>
          </w:tcPr>
          <w:p>
            <w:pPr>
              <w:pStyle w:val="15"/>
            </w:pPr>
            <w:r>
              <w:t>≤3700元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资金及时拨付维护社会稳定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受益群体满意度</w:t>
            </w:r>
          </w:p>
        </w:tc>
        <w:tc>
          <w:tcPr>
            <w:tcW w:w="1276" w:type="dxa"/>
            <w:vAlign w:val="center"/>
          </w:tcPr>
          <w:p>
            <w:pPr>
              <w:pStyle w:val="15"/>
            </w:pPr>
            <w:r>
              <w:t>≥95%</w:t>
            </w:r>
          </w:p>
        </w:tc>
        <w:tc>
          <w:tcPr>
            <w:tcW w:w="1843" w:type="dxa"/>
            <w:vAlign w:val="center"/>
          </w:tcPr>
          <w:p>
            <w:pPr>
              <w:pStyle w:val="1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5" w:name="_Toc_4_4_0000000049"/>
      <w:r>
        <w:rPr>
          <w:rFonts w:ascii="方正仿宋_GBK" w:hAnsi="方正仿宋_GBK" w:eastAsia="方正仿宋_GBK" w:cs="方正仿宋_GBK"/>
          <w:color w:val="000000"/>
          <w:sz w:val="28"/>
        </w:rPr>
        <w:t>46.</w:t>
      </w:r>
      <w:r>
        <w:rPr>
          <w:rFonts w:hint="eastAsia" w:ascii="方正仿宋_GBK" w:hAnsi="方正仿宋_GBK" w:eastAsia="方正仿宋_GBK" w:cs="方正仿宋_GBK"/>
          <w:color w:val="000000"/>
          <w:sz w:val="28"/>
          <w:lang w:eastAsia="zh-CN"/>
        </w:rPr>
        <w:t>燕郊高新技术产业开发区管理委员会</w:t>
      </w:r>
      <w:r>
        <w:rPr>
          <w:rFonts w:ascii="方正仿宋_GBK" w:hAnsi="方正仿宋_GBK" w:eastAsia="方正仿宋_GBK" w:cs="方正仿宋_GBK"/>
          <w:color w:val="000000"/>
          <w:sz w:val="28"/>
        </w:rPr>
        <w:t>东新路北段工程绩效目标表</w:t>
      </w:r>
      <w:bookmarkEnd w:id="4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1.通过修建道路，完善周边基础设施配套，方便企业和居民出行。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新建道路长度</w:t>
            </w:r>
          </w:p>
        </w:tc>
        <w:tc>
          <w:tcPr>
            <w:tcW w:w="2891" w:type="dxa"/>
            <w:vAlign w:val="center"/>
          </w:tcPr>
          <w:p>
            <w:pPr>
              <w:pStyle w:val="15"/>
            </w:pPr>
            <w:r>
              <w:t>新建道路长度</w:t>
            </w:r>
          </w:p>
        </w:tc>
        <w:tc>
          <w:tcPr>
            <w:tcW w:w="1276" w:type="dxa"/>
            <w:vAlign w:val="center"/>
          </w:tcPr>
          <w:p>
            <w:pPr>
              <w:pStyle w:val="15"/>
            </w:pPr>
            <w:r>
              <w:t>≤3453米</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通过验收工程量占总量百分比</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完工及时率</w:t>
            </w:r>
          </w:p>
        </w:tc>
        <w:tc>
          <w:tcPr>
            <w:tcW w:w="2891" w:type="dxa"/>
            <w:vAlign w:val="center"/>
          </w:tcPr>
          <w:p>
            <w:pPr>
              <w:pStyle w:val="15"/>
            </w:pPr>
            <w:r>
              <w:t>完工及时率</w:t>
            </w:r>
          </w:p>
        </w:tc>
        <w:tc>
          <w:tcPr>
            <w:tcW w:w="1276" w:type="dxa"/>
            <w:vAlign w:val="center"/>
          </w:tcPr>
          <w:p>
            <w:pPr>
              <w:pStyle w:val="15"/>
            </w:pPr>
            <w:r>
              <w:t>100%</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雨水管道单价</w:t>
            </w:r>
          </w:p>
        </w:tc>
        <w:tc>
          <w:tcPr>
            <w:tcW w:w="2891" w:type="dxa"/>
            <w:vAlign w:val="center"/>
          </w:tcPr>
          <w:p>
            <w:pPr>
              <w:pStyle w:val="15"/>
            </w:pPr>
            <w:r>
              <w:t>雨水管道延米单价</w:t>
            </w:r>
          </w:p>
        </w:tc>
        <w:tc>
          <w:tcPr>
            <w:tcW w:w="1276" w:type="dxa"/>
            <w:vAlign w:val="center"/>
          </w:tcPr>
          <w:p>
            <w:pPr>
              <w:pStyle w:val="15"/>
            </w:pPr>
            <w:r>
              <w:t>≤4000元</w:t>
            </w:r>
          </w:p>
        </w:tc>
        <w:tc>
          <w:tcPr>
            <w:tcW w:w="1843" w:type="dxa"/>
            <w:vAlign w:val="center"/>
          </w:tcPr>
          <w:p>
            <w:pPr>
              <w:pStyle w:val="15"/>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资金及时拨付维护社会稳定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受益群体调查，满意和较满意人数比率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6" w:name="_Toc_4_4_0000000050"/>
      <w:r>
        <w:rPr>
          <w:rFonts w:ascii="方正仿宋_GBK" w:hAnsi="方正仿宋_GBK" w:eastAsia="方正仿宋_GBK" w:cs="方正仿宋_GBK"/>
          <w:color w:val="000000"/>
          <w:sz w:val="28"/>
        </w:rPr>
        <w:t>47.燕郊西污水处理厂三期扩建工程绩效目标表</w:t>
      </w:r>
      <w:bookmarkEnd w:id="4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1.提升日污水处理能力，出水水质达到京B标准，综合调配三座污水厂污水处理能力。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新增日处理吨数</w:t>
            </w:r>
          </w:p>
        </w:tc>
        <w:tc>
          <w:tcPr>
            <w:tcW w:w="2891" w:type="dxa"/>
            <w:vAlign w:val="center"/>
          </w:tcPr>
          <w:p>
            <w:pPr>
              <w:pStyle w:val="15"/>
            </w:pPr>
            <w:r>
              <w:t>新增日处理污水吨数</w:t>
            </w:r>
          </w:p>
        </w:tc>
        <w:tc>
          <w:tcPr>
            <w:tcW w:w="1276" w:type="dxa"/>
            <w:vAlign w:val="center"/>
          </w:tcPr>
          <w:p>
            <w:pPr>
              <w:pStyle w:val="15"/>
            </w:pPr>
            <w:r>
              <w:t>2.5万吨</w:t>
            </w:r>
          </w:p>
        </w:tc>
        <w:tc>
          <w:tcPr>
            <w:tcW w:w="1843" w:type="dxa"/>
            <w:vAlign w:val="center"/>
          </w:tcPr>
          <w:p>
            <w:pPr>
              <w:pStyle w:val="15"/>
            </w:pPr>
            <w:r>
              <w:t>可研批复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单位成本</w:t>
            </w:r>
          </w:p>
        </w:tc>
        <w:tc>
          <w:tcPr>
            <w:tcW w:w="2891" w:type="dxa"/>
            <w:vAlign w:val="center"/>
          </w:tcPr>
          <w:p>
            <w:pPr>
              <w:pStyle w:val="15"/>
            </w:pPr>
            <w:r>
              <w:t>每吨污水处理费控制在预算范围内</w:t>
            </w:r>
          </w:p>
        </w:tc>
        <w:tc>
          <w:tcPr>
            <w:tcW w:w="1276" w:type="dxa"/>
            <w:vAlign w:val="center"/>
          </w:tcPr>
          <w:p>
            <w:pPr>
              <w:pStyle w:val="15"/>
            </w:pPr>
            <w:r>
              <w:t>≤0.5万元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7" w:name="_Toc_4_4_0000000051"/>
      <w:r>
        <w:rPr>
          <w:rFonts w:ascii="方正仿宋_GBK" w:hAnsi="方正仿宋_GBK" w:eastAsia="方正仿宋_GBK" w:cs="方正仿宋_GBK"/>
          <w:color w:val="000000"/>
          <w:sz w:val="28"/>
        </w:rPr>
        <w:t>48.园区基础设施建设项目绩效目标表</w:t>
      </w:r>
      <w:bookmarkEnd w:id="4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1.通过对燕郊高新区区域内道路设施建设项目的提升，促进燕郊高新区稳定发展。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道路长度</w:t>
            </w:r>
          </w:p>
        </w:tc>
        <w:tc>
          <w:tcPr>
            <w:tcW w:w="2891" w:type="dxa"/>
            <w:vAlign w:val="center"/>
          </w:tcPr>
          <w:p>
            <w:pPr>
              <w:pStyle w:val="15"/>
            </w:pPr>
            <w:r>
              <w:t>道路长度</w:t>
            </w:r>
          </w:p>
        </w:tc>
        <w:tc>
          <w:tcPr>
            <w:tcW w:w="1276" w:type="dxa"/>
            <w:vAlign w:val="center"/>
          </w:tcPr>
          <w:p>
            <w:pPr>
              <w:pStyle w:val="15"/>
            </w:pPr>
            <w:r>
              <w:t>≥2000米</w:t>
            </w:r>
          </w:p>
        </w:tc>
        <w:tc>
          <w:tcPr>
            <w:tcW w:w="1843" w:type="dxa"/>
            <w:vAlign w:val="center"/>
          </w:tcPr>
          <w:p>
            <w:pPr>
              <w:pStyle w:val="15"/>
            </w:pPr>
            <w:r>
              <w:t>可研批复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完工及时性</w:t>
            </w:r>
          </w:p>
        </w:tc>
        <w:tc>
          <w:tcPr>
            <w:tcW w:w="2891" w:type="dxa"/>
            <w:vAlign w:val="center"/>
          </w:tcPr>
          <w:p>
            <w:pPr>
              <w:pStyle w:val="15"/>
            </w:pPr>
            <w:r>
              <w:t>按合同要求工程完工及时性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道路单价</w:t>
            </w:r>
          </w:p>
        </w:tc>
        <w:tc>
          <w:tcPr>
            <w:tcW w:w="2891" w:type="dxa"/>
            <w:vAlign w:val="center"/>
          </w:tcPr>
          <w:p>
            <w:pPr>
              <w:pStyle w:val="15"/>
            </w:pPr>
            <w:r>
              <w:t>道路每米单价</w:t>
            </w:r>
          </w:p>
        </w:tc>
        <w:tc>
          <w:tcPr>
            <w:tcW w:w="1276" w:type="dxa"/>
            <w:vAlign w:val="center"/>
          </w:tcPr>
          <w:p>
            <w:pPr>
              <w:pStyle w:val="15"/>
            </w:pPr>
            <w:r>
              <w:t>≤1.3万元</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8" w:name="_Toc_4_4_0000000052"/>
      <w:r>
        <w:rPr>
          <w:rFonts w:ascii="方正仿宋_GBK" w:hAnsi="方正仿宋_GBK" w:eastAsia="方正仿宋_GBK" w:cs="方正仿宋_GBK"/>
          <w:color w:val="000000"/>
          <w:sz w:val="28"/>
        </w:rPr>
        <w:t>49.园区社会事业发展建设项目绩效目标表</w:t>
      </w:r>
      <w:bookmarkEnd w:id="4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6635"/>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2"/>
            <w:tcBorders>
              <w:top w:val="single" w:color="FFFFFF" w:sz="6" w:space="0"/>
              <w:left w:val="single" w:color="FFFFFF" w:sz="6" w:space="0"/>
              <w:right w:val="single" w:color="FFFFFF" w:sz="6" w:space="0"/>
            </w:tcBorders>
            <w:vAlign w:val="center"/>
          </w:tcPr>
          <w:p>
            <w:pPr>
              <w:pStyle w:val="19"/>
              <w:rPr>
                <w:rFonts w:hint="eastAsia" w:eastAsia="方正书宋_GBK"/>
                <w:lang w:eastAsia="zh-CN"/>
              </w:rPr>
            </w:pPr>
            <w:r>
              <w:t>979434</w:t>
            </w:r>
            <w:r>
              <w:rPr>
                <w:rFonts w:hint="eastAsia"/>
                <w:lang w:eastAsia="zh-CN"/>
              </w:rPr>
              <w:t>燕郊高新技术产业开发区管理委员会</w:t>
            </w:r>
          </w:p>
        </w:tc>
        <w:tc>
          <w:tcPr>
            <w:tcW w:w="1327" w:type="dxa"/>
            <w:tcBorders>
              <w:top w:val="single" w:color="FFFFFF" w:sz="6" w:space="0"/>
              <w:left w:val="single" w:color="FFFFFF" w:sz="6" w:space="0"/>
              <w:right w:val="single" w:color="FFFFFF" w:sz="6" w:space="0"/>
            </w:tcBorders>
            <w:vAlign w:val="center"/>
          </w:tcPr>
          <w:p>
            <w:pPr>
              <w:pStyle w:val="14"/>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3"/>
            </w:pPr>
            <w:r>
              <w:t>绩效目标</w:t>
            </w:r>
          </w:p>
        </w:tc>
        <w:tc>
          <w:tcPr>
            <w:tcW w:w="7962" w:type="dxa"/>
            <w:gridSpan w:val="2"/>
            <w:vAlign w:val="center"/>
          </w:tcPr>
          <w:p>
            <w:pPr>
              <w:pStyle w:val="15"/>
            </w:pPr>
            <w:r>
              <w:t>1.通过对燕郊高新区区域内社会事业设施建设项目的提升，促进燕郊高新区稳定发展。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2891" w:type="dxa"/>
            <w:vAlign w:val="center"/>
          </w:tcPr>
          <w:p>
            <w:pPr>
              <w:pStyle w:val="13"/>
            </w:pPr>
            <w:r>
              <w:t>绩效指标描述</w:t>
            </w:r>
          </w:p>
        </w:tc>
        <w:tc>
          <w:tcPr>
            <w:tcW w:w="1276" w:type="dxa"/>
            <w:vAlign w:val="center"/>
          </w:tcPr>
          <w:p>
            <w:pPr>
              <w:pStyle w:val="13"/>
            </w:pPr>
            <w:r>
              <w:t>指标值</w:t>
            </w:r>
          </w:p>
        </w:tc>
        <w:tc>
          <w:tcPr>
            <w:tcW w:w="1843"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产出指标</w:t>
            </w:r>
          </w:p>
        </w:tc>
        <w:tc>
          <w:tcPr>
            <w:tcW w:w="1276" w:type="dxa"/>
            <w:vAlign w:val="center"/>
          </w:tcPr>
          <w:p>
            <w:pPr>
              <w:pStyle w:val="15"/>
            </w:pPr>
            <w:r>
              <w:t>数量指标</w:t>
            </w:r>
          </w:p>
        </w:tc>
        <w:tc>
          <w:tcPr>
            <w:tcW w:w="1332" w:type="dxa"/>
            <w:vAlign w:val="center"/>
          </w:tcPr>
          <w:p>
            <w:pPr>
              <w:pStyle w:val="15"/>
            </w:pPr>
            <w:r>
              <w:t>采购灯杆数量</w:t>
            </w:r>
          </w:p>
        </w:tc>
        <w:tc>
          <w:tcPr>
            <w:tcW w:w="2891" w:type="dxa"/>
            <w:vAlign w:val="center"/>
          </w:tcPr>
          <w:p>
            <w:pPr>
              <w:pStyle w:val="15"/>
            </w:pPr>
            <w:r>
              <w:t>采购灯杆数量</w:t>
            </w:r>
          </w:p>
        </w:tc>
        <w:tc>
          <w:tcPr>
            <w:tcW w:w="1276" w:type="dxa"/>
            <w:vAlign w:val="center"/>
          </w:tcPr>
          <w:p>
            <w:pPr>
              <w:pStyle w:val="15"/>
            </w:pPr>
            <w:r>
              <w:t>≥300根</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验收合格率</w:t>
            </w:r>
          </w:p>
        </w:tc>
        <w:tc>
          <w:tcPr>
            <w:tcW w:w="2891" w:type="dxa"/>
            <w:vAlign w:val="center"/>
          </w:tcPr>
          <w:p>
            <w:pPr>
              <w:pStyle w:val="15"/>
            </w:pPr>
            <w:r>
              <w:t>通过验收工程量占总工程的比率</w:t>
            </w:r>
          </w:p>
        </w:tc>
        <w:tc>
          <w:tcPr>
            <w:tcW w:w="1276" w:type="dxa"/>
            <w:vAlign w:val="center"/>
          </w:tcPr>
          <w:p>
            <w:pPr>
              <w:pStyle w:val="15"/>
            </w:pPr>
            <w:r>
              <w:t>100%</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工程竣工及时性</w:t>
            </w:r>
          </w:p>
        </w:tc>
        <w:tc>
          <w:tcPr>
            <w:tcW w:w="2891" w:type="dxa"/>
            <w:vAlign w:val="center"/>
          </w:tcPr>
          <w:p>
            <w:pPr>
              <w:pStyle w:val="15"/>
            </w:pPr>
            <w:r>
              <w:t>按照合同要求工程竣工及时性</w:t>
            </w:r>
          </w:p>
        </w:tc>
        <w:tc>
          <w:tcPr>
            <w:tcW w:w="1276" w:type="dxa"/>
            <w:vAlign w:val="center"/>
          </w:tcPr>
          <w:p>
            <w:pPr>
              <w:pStyle w:val="15"/>
            </w:pPr>
            <w:r>
              <w:t>按合同要求及时完工</w:t>
            </w:r>
          </w:p>
        </w:tc>
        <w:tc>
          <w:tcPr>
            <w:tcW w:w="1843" w:type="dxa"/>
            <w:vAlign w:val="center"/>
          </w:tcPr>
          <w:p>
            <w:pPr>
              <w:pStyle w:val="15"/>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灯杆单价</w:t>
            </w:r>
          </w:p>
        </w:tc>
        <w:tc>
          <w:tcPr>
            <w:tcW w:w="2891" w:type="dxa"/>
            <w:vAlign w:val="center"/>
          </w:tcPr>
          <w:p>
            <w:pPr>
              <w:pStyle w:val="15"/>
            </w:pPr>
            <w:r>
              <w:t>采购灯杆单价控制在预算范围内</w:t>
            </w:r>
          </w:p>
        </w:tc>
        <w:tc>
          <w:tcPr>
            <w:tcW w:w="1276" w:type="dxa"/>
            <w:vAlign w:val="center"/>
          </w:tcPr>
          <w:p>
            <w:pPr>
              <w:pStyle w:val="15"/>
            </w:pPr>
            <w:r>
              <w:t>≤2.5万元</w:t>
            </w:r>
          </w:p>
        </w:tc>
        <w:tc>
          <w:tcPr>
            <w:tcW w:w="1843" w:type="dxa"/>
            <w:vAlign w:val="center"/>
          </w:tcPr>
          <w:p>
            <w:pPr>
              <w:pStyle w:val="1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效益指标</w:t>
            </w:r>
          </w:p>
        </w:tc>
        <w:tc>
          <w:tcPr>
            <w:tcW w:w="1276" w:type="dxa"/>
            <w:vAlign w:val="center"/>
          </w:tcPr>
          <w:p>
            <w:pPr>
              <w:pStyle w:val="15"/>
            </w:pPr>
            <w:r>
              <w:t>社会效益指标</w:t>
            </w:r>
          </w:p>
        </w:tc>
        <w:tc>
          <w:tcPr>
            <w:tcW w:w="1332" w:type="dxa"/>
            <w:vAlign w:val="center"/>
          </w:tcPr>
          <w:p>
            <w:pPr>
              <w:pStyle w:val="15"/>
            </w:pPr>
            <w:r>
              <w:t>社会稳定水平</w:t>
            </w:r>
          </w:p>
        </w:tc>
        <w:tc>
          <w:tcPr>
            <w:tcW w:w="2891" w:type="dxa"/>
            <w:vAlign w:val="center"/>
          </w:tcPr>
          <w:p>
            <w:pPr>
              <w:pStyle w:val="15"/>
            </w:pPr>
            <w:r>
              <w:t>资金及时拨付维持社会稳定</w:t>
            </w:r>
          </w:p>
        </w:tc>
        <w:tc>
          <w:tcPr>
            <w:tcW w:w="1276" w:type="dxa"/>
            <w:vAlign w:val="center"/>
          </w:tcPr>
          <w:p>
            <w:pPr>
              <w:pStyle w:val="15"/>
            </w:pPr>
            <w:r>
              <w:t>有效促进</w:t>
            </w:r>
          </w:p>
        </w:tc>
        <w:tc>
          <w:tcPr>
            <w:tcW w:w="1843" w:type="dxa"/>
            <w:vAlign w:val="center"/>
          </w:tcPr>
          <w:p>
            <w:pPr>
              <w:pStyle w:val="15"/>
            </w:pPr>
            <w: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满意度指标</w:t>
            </w:r>
          </w:p>
        </w:tc>
        <w:tc>
          <w:tcPr>
            <w:tcW w:w="1276" w:type="dxa"/>
            <w:vAlign w:val="center"/>
          </w:tcPr>
          <w:p>
            <w:pPr>
              <w:pStyle w:val="15"/>
            </w:pPr>
            <w:r>
              <w:t>服务对象满意度指标</w:t>
            </w:r>
          </w:p>
        </w:tc>
        <w:tc>
          <w:tcPr>
            <w:tcW w:w="1332" w:type="dxa"/>
            <w:vAlign w:val="center"/>
          </w:tcPr>
          <w:p>
            <w:pPr>
              <w:pStyle w:val="15"/>
            </w:pPr>
            <w:r>
              <w:t>受益群体满意度（%）</w:t>
            </w:r>
          </w:p>
        </w:tc>
        <w:tc>
          <w:tcPr>
            <w:tcW w:w="2891" w:type="dxa"/>
            <w:vAlign w:val="center"/>
          </w:tcPr>
          <w:p>
            <w:pPr>
              <w:pStyle w:val="15"/>
            </w:pPr>
            <w:r>
              <w:t>受益群体调查中，满意和较满意的人数占全部调查人数的比率</w:t>
            </w:r>
          </w:p>
        </w:tc>
        <w:tc>
          <w:tcPr>
            <w:tcW w:w="1276" w:type="dxa"/>
            <w:vAlign w:val="center"/>
          </w:tcPr>
          <w:p>
            <w:pPr>
              <w:pStyle w:val="15"/>
            </w:pPr>
            <w:r>
              <w:t>≥95%</w:t>
            </w:r>
          </w:p>
        </w:tc>
        <w:tc>
          <w:tcPr>
            <w:tcW w:w="1843" w:type="dxa"/>
            <w:vAlign w:val="center"/>
          </w:tcPr>
          <w:p>
            <w:pPr>
              <w:pStyle w:val="15"/>
            </w:pPr>
            <w:r>
              <w:t>问卷调查</w:t>
            </w:r>
          </w:p>
        </w:tc>
      </w:tr>
    </w:tbl>
    <w:p/>
    <w:p>
      <w:pPr>
        <w:rPr>
          <w:rFonts w:hint="eastAsia" w:eastAsia="宋体"/>
          <w:lang w:eastAsia="zh-CN"/>
        </w:rPr>
      </w:pPr>
    </w:p>
    <w:p/>
    <w:p>
      <w:pPr>
        <w:rPr>
          <w:rFonts w:hint="eastAsia" w:eastAsia="宋体"/>
          <w:lang w:eastAsia="zh-CN"/>
        </w:rPr>
      </w:pPr>
    </w:p>
    <w:p>
      <w:pPr>
        <w:pStyle w:val="2"/>
        <w:rPr>
          <w:rFonts w:hint="eastAsia"/>
          <w:lang w:eastAsia="zh-CN"/>
        </w:rPr>
        <w:sectPr>
          <w:pgSz w:w="11900" w:h="16840"/>
          <w:pgMar w:top="1020" w:right="1134" w:bottom="1020" w:left="1361" w:header="720" w:footer="720" w:gutter="0"/>
          <w:cols w:space="720" w:num="1"/>
        </w:sect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w:t>
      </w:r>
    </w:p>
    <w:p>
      <w:pPr>
        <w:spacing w:line="500" w:lineRule="exact"/>
        <w:ind w:firstLine="560"/>
      </w:pPr>
      <w:r>
        <w:rPr>
          <w:rFonts w:eastAsia="方正仿宋_GBK"/>
          <w:color w:val="000000"/>
          <w:sz w:val="28"/>
        </w:rPr>
        <w:t>2023年，燕郊高新技术产业开发区管理委员会安排政府采购预算32869.05万元。具体内容见下表。</w:t>
      </w:r>
    </w:p>
    <w:p>
      <w:pPr>
        <w:jc w:val="center"/>
      </w:pPr>
      <w:r>
        <w:rPr>
          <w:rFonts w:hint="eastAsia" w:ascii="方正小标宋_GBK" w:hAnsi="方正小标宋_GBK" w:eastAsia="方正小标宋_GBK" w:cs="方正小标宋_GBK"/>
          <w:color w:val="000000"/>
          <w:sz w:val="36"/>
          <w:lang w:eastAsia="zh-CN"/>
        </w:rPr>
        <w:t>部门</w:t>
      </w:r>
      <w:r>
        <w:rPr>
          <w:rFonts w:ascii="方正小标宋_GBK" w:hAnsi="方正小标宋_GBK" w:eastAsia="方正小标宋_GBK" w:cs="方正小标宋_GBK"/>
          <w:color w:val="000000"/>
          <w:sz w:val="36"/>
        </w:rPr>
        <w:t>政府采购预算</w:t>
      </w:r>
    </w:p>
    <w:tbl>
      <w:tblPr>
        <w:tblStyle w:val="9"/>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4"/>
            </w:pPr>
            <w:r>
              <w:t>979燕郊高新技术产业开发区管理委员会</w:t>
            </w:r>
          </w:p>
        </w:tc>
        <w:tc>
          <w:tcPr>
            <w:tcW w:w="8676" w:type="dxa"/>
            <w:gridSpan w:val="9"/>
            <w:tcBorders>
              <w:top w:val="single" w:color="FFFFFF" w:sz="6" w:space="0"/>
              <w:left w:val="single" w:color="FFFFFF" w:sz="6" w:space="0"/>
              <w:right w:val="single" w:color="FFFFFF" w:sz="6" w:space="0"/>
            </w:tcBorders>
            <w:vAlign w:val="center"/>
          </w:tcPr>
          <w:p>
            <w:pPr>
              <w:pStyle w:val="25"/>
            </w:pPr>
            <w:r>
              <w:rPr>
                <w:rFonts w:hint="eastAsia"/>
                <w:lang w:eastAsia="zh-CN"/>
              </w:rPr>
              <w:t>部门</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rPr>
                <w:rFonts w:hint="eastAsia" w:eastAsia="方正书宋_GBK"/>
                <w:lang w:eastAsia="zh-CN"/>
              </w:rPr>
            </w:pPr>
            <w:r>
              <w:t xml:space="preserve">计量  </w:t>
            </w:r>
            <w:r>
              <w:rPr>
                <w:rFonts w:hint="eastAsia"/>
                <w:lang w:eastAsia="zh-CN"/>
              </w:rPr>
              <w:t>部门</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7712" w:type="dxa"/>
            <w:gridSpan w:val="8"/>
            <w:vAlign w:val="center"/>
          </w:tcPr>
          <w:p>
            <w:pPr>
              <w:pStyle w:val="13"/>
            </w:pPr>
            <w:r>
              <w:t>政府采购金额（当年</w:t>
            </w:r>
            <w:r>
              <w:rPr>
                <w:rFonts w:hint="eastAsia"/>
                <w:lang w:eastAsia="zh-CN"/>
              </w:rPr>
              <w:t>部门</w:t>
            </w:r>
            <w:r>
              <w:t>预算安排资金）</w:t>
            </w:r>
          </w:p>
        </w:tc>
        <w:tc>
          <w:tcPr>
            <w:tcW w:w="964" w:type="dxa"/>
            <w:vMerge w:val="restart"/>
            <w:vAlign w:val="center"/>
          </w:tcPr>
          <w:p>
            <w:pPr>
              <w:pStyle w:val="13"/>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rPr>
                <w:rFonts w:hint="eastAsia"/>
                <w:lang w:eastAsia="zh-CN"/>
              </w:rPr>
              <w:t>部门</w:t>
            </w:r>
            <w:r>
              <w:t xml:space="preserve">    资金</w:t>
            </w:r>
          </w:p>
        </w:tc>
        <w:tc>
          <w:tcPr>
            <w:tcW w:w="964" w:type="dxa"/>
            <w:vAlign w:val="center"/>
          </w:tcPr>
          <w:p>
            <w:pPr>
              <w:pStyle w:val="13"/>
            </w:pPr>
            <w:r>
              <w:t>财政拨    款结转</w:t>
            </w:r>
          </w:p>
        </w:tc>
        <w:tc>
          <w:tcPr>
            <w:tcW w:w="964" w:type="dxa"/>
            <w:vAlign w:val="center"/>
          </w:tcPr>
          <w:p>
            <w:pPr>
              <w:pStyle w:val="13"/>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合  计</w:t>
            </w: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17"/>
            </w:pPr>
          </w:p>
        </w:tc>
        <w:tc>
          <w:tcPr>
            <w:tcW w:w="850" w:type="dxa"/>
            <w:vAlign w:val="center"/>
          </w:tcPr>
          <w:p>
            <w:pPr>
              <w:pStyle w:val="18"/>
            </w:pPr>
          </w:p>
        </w:tc>
        <w:tc>
          <w:tcPr>
            <w:tcW w:w="850" w:type="dxa"/>
            <w:vAlign w:val="center"/>
          </w:tcPr>
          <w:p>
            <w:pPr>
              <w:pStyle w:val="18"/>
            </w:pPr>
          </w:p>
        </w:tc>
        <w:tc>
          <w:tcPr>
            <w:tcW w:w="964" w:type="dxa"/>
            <w:vAlign w:val="center"/>
          </w:tcPr>
          <w:p>
            <w:pPr>
              <w:pStyle w:val="18"/>
            </w:pPr>
            <w:r>
              <w:t>32869.05</w:t>
            </w:r>
          </w:p>
        </w:tc>
        <w:tc>
          <w:tcPr>
            <w:tcW w:w="964" w:type="dxa"/>
            <w:vAlign w:val="center"/>
          </w:tcPr>
          <w:p>
            <w:pPr>
              <w:pStyle w:val="18"/>
            </w:pPr>
            <w:r>
              <w:t>5622.37</w:t>
            </w:r>
          </w:p>
        </w:tc>
        <w:tc>
          <w:tcPr>
            <w:tcW w:w="964" w:type="dxa"/>
            <w:vAlign w:val="center"/>
          </w:tcPr>
          <w:p>
            <w:pPr>
              <w:pStyle w:val="18"/>
            </w:pPr>
            <w:r>
              <w:t>27246.68</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11047.15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燕郊高新技术产业开发区管理委员会小计</w:t>
            </w: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17"/>
            </w:pPr>
          </w:p>
        </w:tc>
        <w:tc>
          <w:tcPr>
            <w:tcW w:w="850" w:type="dxa"/>
            <w:vAlign w:val="center"/>
          </w:tcPr>
          <w:p>
            <w:pPr>
              <w:pStyle w:val="18"/>
            </w:pPr>
          </w:p>
        </w:tc>
        <w:tc>
          <w:tcPr>
            <w:tcW w:w="850" w:type="dxa"/>
            <w:vAlign w:val="center"/>
          </w:tcPr>
          <w:p>
            <w:pPr>
              <w:pStyle w:val="18"/>
            </w:pPr>
          </w:p>
        </w:tc>
        <w:tc>
          <w:tcPr>
            <w:tcW w:w="964" w:type="dxa"/>
            <w:vAlign w:val="center"/>
          </w:tcPr>
          <w:p>
            <w:pPr>
              <w:pStyle w:val="18"/>
            </w:pPr>
            <w:r>
              <w:t>32869.05</w:t>
            </w:r>
          </w:p>
        </w:tc>
        <w:tc>
          <w:tcPr>
            <w:tcW w:w="964" w:type="dxa"/>
            <w:vAlign w:val="center"/>
          </w:tcPr>
          <w:p>
            <w:pPr>
              <w:pStyle w:val="18"/>
            </w:pPr>
            <w:r>
              <w:t>5622.37</w:t>
            </w:r>
          </w:p>
        </w:tc>
        <w:tc>
          <w:tcPr>
            <w:tcW w:w="964" w:type="dxa"/>
            <w:vAlign w:val="center"/>
          </w:tcPr>
          <w:p>
            <w:pPr>
              <w:pStyle w:val="18"/>
            </w:pPr>
            <w:r>
              <w:t>27246.68</w:t>
            </w: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r>
              <w:t>11047.15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城市绿化管理费</w:t>
            </w:r>
          </w:p>
        </w:tc>
        <w:tc>
          <w:tcPr>
            <w:tcW w:w="964" w:type="dxa"/>
            <w:vAlign w:val="center"/>
          </w:tcPr>
          <w:p>
            <w:pPr>
              <w:pStyle w:val="14"/>
            </w:pPr>
            <w:r>
              <w:t>4821.00</w:t>
            </w:r>
          </w:p>
        </w:tc>
        <w:tc>
          <w:tcPr>
            <w:tcW w:w="1134" w:type="dxa"/>
            <w:vAlign w:val="center"/>
          </w:tcPr>
          <w:p>
            <w:pPr>
              <w:pStyle w:val="15"/>
            </w:pPr>
            <w:r>
              <w:t>园林绿化管理服务</w:t>
            </w:r>
          </w:p>
        </w:tc>
        <w:tc>
          <w:tcPr>
            <w:tcW w:w="1134" w:type="dxa"/>
            <w:vAlign w:val="center"/>
          </w:tcPr>
          <w:p>
            <w:pPr>
              <w:pStyle w:val="15"/>
            </w:pPr>
            <w:r>
              <w:t>C13030000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4617.00</w:t>
            </w:r>
          </w:p>
        </w:tc>
        <w:tc>
          <w:tcPr>
            <w:tcW w:w="964" w:type="dxa"/>
            <w:vAlign w:val="center"/>
          </w:tcPr>
          <w:p>
            <w:pPr>
              <w:pStyle w:val="14"/>
            </w:pPr>
            <w:r>
              <w:t>4617.00</w:t>
            </w:r>
          </w:p>
        </w:tc>
        <w:tc>
          <w:tcPr>
            <w:tcW w:w="964" w:type="dxa"/>
            <w:vAlign w:val="center"/>
          </w:tcPr>
          <w:p>
            <w:pPr>
              <w:pStyle w:val="14"/>
            </w:pPr>
            <w:r>
              <w:t>4617.00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1385.10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城市容貌环境综合治理</w:t>
            </w:r>
          </w:p>
        </w:tc>
        <w:tc>
          <w:tcPr>
            <w:tcW w:w="964" w:type="dxa"/>
            <w:vAlign w:val="center"/>
          </w:tcPr>
          <w:p>
            <w:pPr>
              <w:pStyle w:val="14"/>
            </w:pPr>
            <w:r>
              <w:t>1350.00</w:t>
            </w:r>
          </w:p>
        </w:tc>
        <w:tc>
          <w:tcPr>
            <w:tcW w:w="1134" w:type="dxa"/>
            <w:vAlign w:val="center"/>
          </w:tcPr>
          <w:p>
            <w:pPr>
              <w:pStyle w:val="15"/>
              <w:rPr>
                <w:rFonts w:hint="default" w:eastAsia="方正书宋_GBK"/>
                <w:lang w:val="en-US" w:eastAsia="zh-CN"/>
              </w:rPr>
            </w:pPr>
            <w:r>
              <w:rPr>
                <w:rFonts w:hint="eastAsia"/>
                <w:lang w:val="en-US" w:eastAsia="zh-CN"/>
              </w:rPr>
              <w:t>执法服装</w:t>
            </w:r>
          </w:p>
        </w:tc>
        <w:tc>
          <w:tcPr>
            <w:tcW w:w="1134" w:type="dxa"/>
            <w:vAlign w:val="center"/>
          </w:tcPr>
          <w:p>
            <w:pPr>
              <w:pStyle w:val="15"/>
            </w:pPr>
            <w:r>
              <w:t>A02291000</w:t>
            </w:r>
          </w:p>
        </w:tc>
        <w:tc>
          <w:tcPr>
            <w:tcW w:w="709" w:type="dxa"/>
            <w:vAlign w:val="center"/>
          </w:tcPr>
          <w:p>
            <w:pPr>
              <w:pStyle w:val="16"/>
            </w:pPr>
            <w:r>
              <w:t>套</w:t>
            </w:r>
          </w:p>
        </w:tc>
        <w:tc>
          <w:tcPr>
            <w:tcW w:w="850" w:type="dxa"/>
            <w:vAlign w:val="center"/>
          </w:tcPr>
          <w:p>
            <w:pPr>
              <w:pStyle w:val="14"/>
            </w:pPr>
            <w:r>
              <w:t>235</w:t>
            </w:r>
          </w:p>
        </w:tc>
        <w:tc>
          <w:tcPr>
            <w:tcW w:w="850" w:type="dxa"/>
            <w:vAlign w:val="center"/>
          </w:tcPr>
          <w:p>
            <w:pPr>
              <w:pStyle w:val="14"/>
            </w:pPr>
            <w:r>
              <w:t>0.40</w:t>
            </w:r>
          </w:p>
        </w:tc>
        <w:tc>
          <w:tcPr>
            <w:tcW w:w="964" w:type="dxa"/>
            <w:vAlign w:val="center"/>
          </w:tcPr>
          <w:p>
            <w:pPr>
              <w:pStyle w:val="14"/>
            </w:pPr>
            <w:r>
              <w:t>94.00</w:t>
            </w:r>
          </w:p>
        </w:tc>
        <w:tc>
          <w:tcPr>
            <w:tcW w:w="964" w:type="dxa"/>
            <w:vAlign w:val="center"/>
          </w:tcPr>
          <w:p>
            <w:pPr>
              <w:pStyle w:val="14"/>
            </w:pPr>
            <w:r>
              <w:t>94.00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94.00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城市容貌环境综合治理</w:t>
            </w:r>
          </w:p>
        </w:tc>
        <w:tc>
          <w:tcPr>
            <w:tcW w:w="964" w:type="dxa"/>
            <w:vAlign w:val="center"/>
          </w:tcPr>
          <w:p>
            <w:pPr>
              <w:pStyle w:val="14"/>
            </w:pPr>
            <w:r>
              <w:t>1350.00</w:t>
            </w:r>
          </w:p>
        </w:tc>
        <w:tc>
          <w:tcPr>
            <w:tcW w:w="1134" w:type="dxa"/>
            <w:vAlign w:val="center"/>
          </w:tcPr>
          <w:p>
            <w:pPr>
              <w:pStyle w:val="15"/>
              <w:rPr>
                <w:rFonts w:hint="default" w:eastAsia="方正书宋_GBK"/>
                <w:lang w:val="en-US" w:eastAsia="zh-CN"/>
              </w:rPr>
            </w:pPr>
            <w:r>
              <w:rPr>
                <w:rFonts w:hint="eastAsia"/>
                <w:lang w:val="en-US" w:eastAsia="zh-CN"/>
              </w:rPr>
              <w:t>后勤社会化服务</w:t>
            </w:r>
          </w:p>
        </w:tc>
        <w:tc>
          <w:tcPr>
            <w:tcW w:w="1134" w:type="dxa"/>
            <w:vAlign w:val="center"/>
          </w:tcPr>
          <w:p>
            <w:pPr>
              <w:pStyle w:val="15"/>
            </w:pPr>
            <w:r>
              <w:t>C22040000</w:t>
            </w:r>
          </w:p>
        </w:tc>
        <w:tc>
          <w:tcPr>
            <w:tcW w:w="709" w:type="dxa"/>
            <w:vAlign w:val="center"/>
          </w:tcPr>
          <w:p>
            <w:pPr>
              <w:pStyle w:val="16"/>
            </w:pPr>
            <w:r>
              <w:t>年</w:t>
            </w:r>
          </w:p>
        </w:tc>
        <w:tc>
          <w:tcPr>
            <w:tcW w:w="850" w:type="dxa"/>
            <w:vAlign w:val="center"/>
          </w:tcPr>
          <w:p>
            <w:pPr>
              <w:pStyle w:val="14"/>
            </w:pPr>
            <w:r>
              <w:t>3</w:t>
            </w:r>
          </w:p>
        </w:tc>
        <w:tc>
          <w:tcPr>
            <w:tcW w:w="850" w:type="dxa"/>
            <w:vAlign w:val="center"/>
          </w:tcPr>
          <w:p>
            <w:pPr>
              <w:pStyle w:val="14"/>
            </w:pPr>
            <w:r>
              <w:t>57.79</w:t>
            </w:r>
          </w:p>
        </w:tc>
        <w:tc>
          <w:tcPr>
            <w:tcW w:w="964" w:type="dxa"/>
            <w:vAlign w:val="center"/>
          </w:tcPr>
          <w:p>
            <w:pPr>
              <w:pStyle w:val="14"/>
            </w:pPr>
            <w:r>
              <w:t>173.37</w:t>
            </w:r>
          </w:p>
        </w:tc>
        <w:tc>
          <w:tcPr>
            <w:tcW w:w="964" w:type="dxa"/>
            <w:vAlign w:val="center"/>
          </w:tcPr>
          <w:p>
            <w:pPr>
              <w:pStyle w:val="14"/>
            </w:pPr>
            <w:r>
              <w:t>173.37</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173.37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污水处理厂运营费</w:t>
            </w:r>
          </w:p>
        </w:tc>
        <w:tc>
          <w:tcPr>
            <w:tcW w:w="964" w:type="dxa"/>
            <w:vAlign w:val="center"/>
          </w:tcPr>
          <w:p>
            <w:pPr>
              <w:pStyle w:val="14"/>
            </w:pPr>
            <w:r>
              <w:t>450.00</w:t>
            </w:r>
          </w:p>
        </w:tc>
        <w:tc>
          <w:tcPr>
            <w:tcW w:w="1134" w:type="dxa"/>
            <w:vAlign w:val="center"/>
          </w:tcPr>
          <w:p>
            <w:pPr>
              <w:pStyle w:val="15"/>
            </w:pPr>
            <w:r>
              <w:t>其他生态环境保护和治理服务</w:t>
            </w:r>
          </w:p>
        </w:tc>
        <w:tc>
          <w:tcPr>
            <w:tcW w:w="1134" w:type="dxa"/>
            <w:vAlign w:val="center"/>
          </w:tcPr>
          <w:p>
            <w:pPr>
              <w:pStyle w:val="15"/>
            </w:pPr>
            <w:r>
              <w:t>C07990000</w:t>
            </w:r>
          </w:p>
        </w:tc>
        <w:tc>
          <w:tcPr>
            <w:tcW w:w="709" w:type="dxa"/>
            <w:vAlign w:val="center"/>
          </w:tcPr>
          <w:p>
            <w:pPr>
              <w:pStyle w:val="16"/>
            </w:pPr>
            <w:r>
              <w:t>年</w:t>
            </w:r>
          </w:p>
        </w:tc>
        <w:tc>
          <w:tcPr>
            <w:tcW w:w="850" w:type="dxa"/>
            <w:vAlign w:val="center"/>
          </w:tcPr>
          <w:p>
            <w:pPr>
              <w:pStyle w:val="14"/>
            </w:pPr>
            <w:r>
              <w:t>1</w:t>
            </w:r>
          </w:p>
        </w:tc>
        <w:tc>
          <w:tcPr>
            <w:tcW w:w="850" w:type="dxa"/>
            <w:vAlign w:val="center"/>
          </w:tcPr>
          <w:p>
            <w:pPr>
              <w:pStyle w:val="14"/>
            </w:pPr>
            <w:r>
              <w:t>300.00</w:t>
            </w:r>
          </w:p>
        </w:tc>
        <w:tc>
          <w:tcPr>
            <w:tcW w:w="964" w:type="dxa"/>
            <w:vAlign w:val="center"/>
          </w:tcPr>
          <w:p>
            <w:pPr>
              <w:pStyle w:val="14"/>
            </w:pPr>
            <w:r>
              <w:t>300.00</w:t>
            </w:r>
          </w:p>
        </w:tc>
        <w:tc>
          <w:tcPr>
            <w:tcW w:w="964" w:type="dxa"/>
            <w:vAlign w:val="center"/>
          </w:tcPr>
          <w:p>
            <w:pPr>
              <w:pStyle w:val="14"/>
            </w:pPr>
            <w:r>
              <w:t>300.00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污水处理厂运营费</w:t>
            </w:r>
          </w:p>
        </w:tc>
        <w:tc>
          <w:tcPr>
            <w:tcW w:w="964" w:type="dxa"/>
            <w:vAlign w:val="center"/>
          </w:tcPr>
          <w:p>
            <w:pPr>
              <w:pStyle w:val="14"/>
            </w:pPr>
            <w:r>
              <w:t>450.00</w:t>
            </w:r>
          </w:p>
        </w:tc>
        <w:tc>
          <w:tcPr>
            <w:tcW w:w="1134" w:type="dxa"/>
            <w:vAlign w:val="center"/>
          </w:tcPr>
          <w:p>
            <w:pPr>
              <w:pStyle w:val="15"/>
            </w:pPr>
            <w:r>
              <w:t>其他服务</w:t>
            </w:r>
          </w:p>
        </w:tc>
        <w:tc>
          <w:tcPr>
            <w:tcW w:w="1134" w:type="dxa"/>
            <w:vAlign w:val="center"/>
          </w:tcPr>
          <w:p>
            <w:pPr>
              <w:pStyle w:val="15"/>
            </w:pPr>
            <w:r>
              <w:t>C99000000</w:t>
            </w:r>
          </w:p>
        </w:tc>
        <w:tc>
          <w:tcPr>
            <w:tcW w:w="709" w:type="dxa"/>
            <w:vAlign w:val="center"/>
          </w:tcPr>
          <w:p>
            <w:pPr>
              <w:pStyle w:val="16"/>
            </w:pPr>
            <w:r>
              <w:t>年</w:t>
            </w:r>
          </w:p>
        </w:tc>
        <w:tc>
          <w:tcPr>
            <w:tcW w:w="850" w:type="dxa"/>
            <w:vAlign w:val="center"/>
          </w:tcPr>
          <w:p>
            <w:pPr>
              <w:pStyle w:val="14"/>
            </w:pPr>
            <w:r>
              <w:t>3</w:t>
            </w:r>
          </w:p>
        </w:tc>
        <w:tc>
          <w:tcPr>
            <w:tcW w:w="850" w:type="dxa"/>
            <w:vAlign w:val="center"/>
          </w:tcPr>
          <w:p>
            <w:pPr>
              <w:pStyle w:val="14"/>
            </w:pPr>
            <w:r>
              <w:t>50.00</w:t>
            </w:r>
          </w:p>
        </w:tc>
        <w:tc>
          <w:tcPr>
            <w:tcW w:w="964" w:type="dxa"/>
            <w:vAlign w:val="center"/>
          </w:tcPr>
          <w:p>
            <w:pPr>
              <w:pStyle w:val="14"/>
            </w:pPr>
            <w:r>
              <w:t>150.00</w:t>
            </w:r>
          </w:p>
        </w:tc>
        <w:tc>
          <w:tcPr>
            <w:tcW w:w="964" w:type="dxa"/>
            <w:vAlign w:val="center"/>
          </w:tcPr>
          <w:p>
            <w:pPr>
              <w:pStyle w:val="14"/>
            </w:pPr>
            <w:r>
              <w:t>150.00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发展规划项目（一般）</w:t>
            </w:r>
          </w:p>
        </w:tc>
        <w:tc>
          <w:tcPr>
            <w:tcW w:w="964" w:type="dxa"/>
            <w:vAlign w:val="center"/>
          </w:tcPr>
          <w:p>
            <w:pPr>
              <w:pStyle w:val="14"/>
            </w:pPr>
            <w:r>
              <w:t>2318.56</w:t>
            </w:r>
          </w:p>
        </w:tc>
        <w:tc>
          <w:tcPr>
            <w:tcW w:w="1134" w:type="dxa"/>
            <w:vAlign w:val="center"/>
          </w:tcPr>
          <w:p>
            <w:pPr>
              <w:pStyle w:val="15"/>
            </w:pPr>
            <w:r>
              <w:t>其他专业技术服务</w:t>
            </w:r>
          </w:p>
        </w:tc>
        <w:tc>
          <w:tcPr>
            <w:tcW w:w="1134" w:type="dxa"/>
            <w:vAlign w:val="center"/>
          </w:tcPr>
          <w:p>
            <w:pPr>
              <w:pStyle w:val="15"/>
            </w:pPr>
            <w:r>
              <w:t>C19990000</w:t>
            </w:r>
          </w:p>
        </w:tc>
        <w:tc>
          <w:tcPr>
            <w:tcW w:w="709" w:type="dxa"/>
            <w:vAlign w:val="center"/>
          </w:tcPr>
          <w:p>
            <w:pPr>
              <w:pStyle w:val="16"/>
            </w:pPr>
            <w:r>
              <w:t>1</w:t>
            </w:r>
          </w:p>
        </w:tc>
        <w:tc>
          <w:tcPr>
            <w:tcW w:w="850" w:type="dxa"/>
            <w:vAlign w:val="center"/>
          </w:tcPr>
          <w:p>
            <w:pPr>
              <w:pStyle w:val="14"/>
            </w:pPr>
            <w:r>
              <w:t>1</w:t>
            </w:r>
          </w:p>
        </w:tc>
        <w:tc>
          <w:tcPr>
            <w:tcW w:w="850" w:type="dxa"/>
            <w:vAlign w:val="center"/>
          </w:tcPr>
          <w:p>
            <w:pPr>
              <w:pStyle w:val="14"/>
            </w:pPr>
            <w:r>
              <w:t>190.00</w:t>
            </w:r>
          </w:p>
        </w:tc>
        <w:tc>
          <w:tcPr>
            <w:tcW w:w="964" w:type="dxa"/>
            <w:vAlign w:val="center"/>
          </w:tcPr>
          <w:p>
            <w:pPr>
              <w:pStyle w:val="14"/>
            </w:pPr>
            <w:r>
              <w:t>190.00</w:t>
            </w:r>
          </w:p>
        </w:tc>
        <w:tc>
          <w:tcPr>
            <w:tcW w:w="964" w:type="dxa"/>
            <w:vAlign w:val="center"/>
          </w:tcPr>
          <w:p>
            <w:pPr>
              <w:pStyle w:val="14"/>
            </w:pPr>
            <w:r>
              <w:t>190.00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rPr>
                <w:rFonts w:hint="eastAsia"/>
                <w:lang w:eastAsia="zh-CN"/>
              </w:rPr>
              <w:t>其他基础设施建</w:t>
            </w:r>
            <w:r>
              <w:t>设项目</w:t>
            </w:r>
          </w:p>
        </w:tc>
        <w:tc>
          <w:tcPr>
            <w:tcW w:w="964" w:type="dxa"/>
            <w:vAlign w:val="center"/>
          </w:tcPr>
          <w:p>
            <w:pPr>
              <w:pStyle w:val="14"/>
            </w:pPr>
            <w:r>
              <w:t>5543.02</w:t>
            </w:r>
          </w:p>
        </w:tc>
        <w:tc>
          <w:tcPr>
            <w:tcW w:w="1134" w:type="dxa"/>
            <w:vAlign w:val="center"/>
          </w:tcPr>
          <w:p>
            <w:pPr>
              <w:pStyle w:val="15"/>
            </w:pPr>
            <w:r>
              <w:t>其他专业施工</w:t>
            </w:r>
          </w:p>
        </w:tc>
        <w:tc>
          <w:tcPr>
            <w:tcW w:w="1134" w:type="dxa"/>
            <w:vAlign w:val="center"/>
          </w:tcPr>
          <w:p>
            <w:pPr>
              <w:pStyle w:val="15"/>
            </w:pPr>
            <w:r>
              <w:t>B05990000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167.68</w:t>
            </w:r>
          </w:p>
        </w:tc>
        <w:tc>
          <w:tcPr>
            <w:tcW w:w="964" w:type="dxa"/>
            <w:vAlign w:val="center"/>
          </w:tcPr>
          <w:p>
            <w:pPr>
              <w:pStyle w:val="14"/>
            </w:pPr>
            <w:r>
              <w:t>167.68</w:t>
            </w:r>
          </w:p>
        </w:tc>
        <w:tc>
          <w:tcPr>
            <w:tcW w:w="964" w:type="dxa"/>
            <w:vAlign w:val="center"/>
          </w:tcPr>
          <w:p>
            <w:pPr>
              <w:pStyle w:val="14"/>
            </w:pPr>
          </w:p>
        </w:tc>
        <w:tc>
          <w:tcPr>
            <w:tcW w:w="964" w:type="dxa"/>
            <w:vAlign w:val="center"/>
          </w:tcPr>
          <w:p>
            <w:pPr>
              <w:pStyle w:val="14"/>
            </w:pPr>
            <w:r>
              <w:t>167.68</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167.68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rPr>
                <w:rFonts w:hint="eastAsia"/>
                <w:lang w:eastAsia="zh-CN"/>
              </w:rPr>
              <w:t>其他基础设施建</w:t>
            </w:r>
            <w:r>
              <w:t>设项目（一般）</w:t>
            </w:r>
          </w:p>
        </w:tc>
        <w:tc>
          <w:tcPr>
            <w:tcW w:w="964" w:type="dxa"/>
            <w:vAlign w:val="center"/>
          </w:tcPr>
          <w:p>
            <w:pPr>
              <w:pStyle w:val="14"/>
            </w:pPr>
            <w:r>
              <w:t>1775.46</w:t>
            </w:r>
          </w:p>
        </w:tc>
        <w:tc>
          <w:tcPr>
            <w:tcW w:w="1134" w:type="dxa"/>
            <w:vAlign w:val="center"/>
          </w:tcPr>
          <w:p>
            <w:pPr>
              <w:pStyle w:val="15"/>
            </w:pPr>
            <w:r>
              <w:rPr>
                <w:rFonts w:hint="eastAsia"/>
                <w:lang w:val="en-US" w:eastAsia="zh-CN"/>
              </w:rPr>
              <w:t>档案管理用</w:t>
            </w:r>
            <w:r>
              <w:t>柜类</w:t>
            </w:r>
          </w:p>
        </w:tc>
        <w:tc>
          <w:tcPr>
            <w:tcW w:w="1134" w:type="dxa"/>
            <w:vAlign w:val="center"/>
          </w:tcPr>
          <w:p>
            <w:pPr>
              <w:pStyle w:val="15"/>
            </w:pPr>
            <w:r>
              <w:t>A05010599</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98.00</w:t>
            </w:r>
          </w:p>
        </w:tc>
        <w:tc>
          <w:tcPr>
            <w:tcW w:w="964" w:type="dxa"/>
            <w:vAlign w:val="center"/>
          </w:tcPr>
          <w:p>
            <w:pPr>
              <w:pStyle w:val="14"/>
            </w:pPr>
            <w:r>
              <w:t>98.00</w:t>
            </w:r>
          </w:p>
        </w:tc>
        <w:tc>
          <w:tcPr>
            <w:tcW w:w="964" w:type="dxa"/>
            <w:vAlign w:val="center"/>
          </w:tcPr>
          <w:p>
            <w:pPr>
              <w:pStyle w:val="14"/>
            </w:pPr>
            <w:r>
              <w:t>98.00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挺秀实验学校新建工程</w:t>
            </w:r>
          </w:p>
        </w:tc>
        <w:tc>
          <w:tcPr>
            <w:tcW w:w="964" w:type="dxa"/>
            <w:vAlign w:val="center"/>
          </w:tcPr>
          <w:p>
            <w:pPr>
              <w:pStyle w:val="14"/>
            </w:pPr>
            <w:r>
              <w:t>12000.00</w:t>
            </w:r>
          </w:p>
        </w:tc>
        <w:tc>
          <w:tcPr>
            <w:tcW w:w="1134" w:type="dxa"/>
            <w:vAlign w:val="center"/>
          </w:tcPr>
          <w:p>
            <w:pPr>
              <w:pStyle w:val="15"/>
            </w:pPr>
            <w:r>
              <w:t>教育用房施工</w:t>
            </w:r>
          </w:p>
        </w:tc>
        <w:tc>
          <w:tcPr>
            <w:tcW w:w="1134" w:type="dxa"/>
            <w:vAlign w:val="center"/>
          </w:tcPr>
          <w:p>
            <w:pPr>
              <w:pStyle w:val="15"/>
            </w:pPr>
            <w:r>
              <w:t>B01021100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12000.00</w:t>
            </w:r>
          </w:p>
        </w:tc>
        <w:tc>
          <w:tcPr>
            <w:tcW w:w="964" w:type="dxa"/>
            <w:vAlign w:val="center"/>
          </w:tcPr>
          <w:p>
            <w:pPr>
              <w:pStyle w:val="14"/>
            </w:pPr>
            <w:r>
              <w:t>12000.00</w:t>
            </w:r>
          </w:p>
        </w:tc>
        <w:tc>
          <w:tcPr>
            <w:tcW w:w="964" w:type="dxa"/>
            <w:vAlign w:val="center"/>
          </w:tcPr>
          <w:p>
            <w:pPr>
              <w:pStyle w:val="14"/>
            </w:pPr>
          </w:p>
        </w:tc>
        <w:tc>
          <w:tcPr>
            <w:tcW w:w="964" w:type="dxa"/>
            <w:vAlign w:val="center"/>
          </w:tcPr>
          <w:p>
            <w:pPr>
              <w:pStyle w:val="14"/>
            </w:pPr>
            <w:r>
              <w:t>12000.00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3600.00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燕郊高新技术产业开发区管理委员会东新路北段工程</w:t>
            </w:r>
          </w:p>
        </w:tc>
        <w:tc>
          <w:tcPr>
            <w:tcW w:w="964" w:type="dxa"/>
            <w:vAlign w:val="center"/>
          </w:tcPr>
          <w:p>
            <w:pPr>
              <w:pStyle w:val="14"/>
            </w:pPr>
            <w:r>
              <w:t>3729.00</w:t>
            </w:r>
          </w:p>
        </w:tc>
        <w:tc>
          <w:tcPr>
            <w:tcW w:w="1134" w:type="dxa"/>
            <w:vAlign w:val="center"/>
          </w:tcPr>
          <w:p>
            <w:pPr>
              <w:pStyle w:val="15"/>
            </w:pPr>
            <w:r>
              <w:t>其他专业施工</w:t>
            </w:r>
          </w:p>
        </w:tc>
        <w:tc>
          <w:tcPr>
            <w:tcW w:w="1134" w:type="dxa"/>
            <w:vAlign w:val="center"/>
          </w:tcPr>
          <w:p>
            <w:pPr>
              <w:pStyle w:val="15"/>
            </w:pPr>
            <w:r>
              <w:t>B05990000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3729.00</w:t>
            </w:r>
          </w:p>
        </w:tc>
        <w:tc>
          <w:tcPr>
            <w:tcW w:w="964" w:type="dxa"/>
            <w:vAlign w:val="center"/>
          </w:tcPr>
          <w:p>
            <w:pPr>
              <w:pStyle w:val="14"/>
            </w:pPr>
            <w:r>
              <w:t>3729.00</w:t>
            </w:r>
          </w:p>
        </w:tc>
        <w:tc>
          <w:tcPr>
            <w:tcW w:w="964" w:type="dxa"/>
            <w:vAlign w:val="center"/>
          </w:tcPr>
          <w:p>
            <w:pPr>
              <w:pStyle w:val="14"/>
            </w:pPr>
          </w:p>
        </w:tc>
        <w:tc>
          <w:tcPr>
            <w:tcW w:w="964" w:type="dxa"/>
            <w:vAlign w:val="center"/>
          </w:tcPr>
          <w:p>
            <w:pPr>
              <w:pStyle w:val="14"/>
            </w:pPr>
            <w:r>
              <w:t>3729.00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1119.00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燕郊西污水处理厂三期扩建工程</w:t>
            </w:r>
          </w:p>
        </w:tc>
        <w:tc>
          <w:tcPr>
            <w:tcW w:w="964" w:type="dxa"/>
            <w:vAlign w:val="center"/>
          </w:tcPr>
          <w:p>
            <w:pPr>
              <w:pStyle w:val="14"/>
            </w:pPr>
            <w:r>
              <w:t>4000.00</w:t>
            </w:r>
          </w:p>
        </w:tc>
        <w:tc>
          <w:tcPr>
            <w:tcW w:w="1134" w:type="dxa"/>
            <w:vAlign w:val="center"/>
          </w:tcPr>
          <w:p>
            <w:pPr>
              <w:pStyle w:val="15"/>
            </w:pPr>
            <w:r>
              <w:t>其他专业施工</w:t>
            </w:r>
          </w:p>
        </w:tc>
        <w:tc>
          <w:tcPr>
            <w:tcW w:w="1134" w:type="dxa"/>
            <w:vAlign w:val="center"/>
          </w:tcPr>
          <w:p>
            <w:pPr>
              <w:pStyle w:val="15"/>
            </w:pPr>
            <w:r>
              <w:t>B05990000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4000.00</w:t>
            </w:r>
          </w:p>
        </w:tc>
        <w:tc>
          <w:tcPr>
            <w:tcW w:w="964" w:type="dxa"/>
            <w:vAlign w:val="center"/>
          </w:tcPr>
          <w:p>
            <w:pPr>
              <w:pStyle w:val="14"/>
            </w:pPr>
            <w:r>
              <w:t>4000.00</w:t>
            </w:r>
          </w:p>
        </w:tc>
        <w:tc>
          <w:tcPr>
            <w:tcW w:w="964" w:type="dxa"/>
            <w:vAlign w:val="center"/>
          </w:tcPr>
          <w:p>
            <w:pPr>
              <w:pStyle w:val="14"/>
            </w:pPr>
          </w:p>
        </w:tc>
        <w:tc>
          <w:tcPr>
            <w:tcW w:w="964" w:type="dxa"/>
            <w:vAlign w:val="center"/>
          </w:tcPr>
          <w:p>
            <w:pPr>
              <w:pStyle w:val="14"/>
            </w:pPr>
            <w:r>
              <w:t>4000.00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园区基础设施建设项目</w:t>
            </w:r>
          </w:p>
        </w:tc>
        <w:tc>
          <w:tcPr>
            <w:tcW w:w="964" w:type="dxa"/>
            <w:vAlign w:val="center"/>
          </w:tcPr>
          <w:p>
            <w:pPr>
              <w:pStyle w:val="14"/>
            </w:pPr>
            <w:r>
              <w:t>6310.00</w:t>
            </w:r>
          </w:p>
        </w:tc>
        <w:tc>
          <w:tcPr>
            <w:tcW w:w="1134" w:type="dxa"/>
            <w:vAlign w:val="center"/>
          </w:tcPr>
          <w:p>
            <w:pPr>
              <w:pStyle w:val="15"/>
            </w:pPr>
            <w:r>
              <w:t>其他专业施工</w:t>
            </w:r>
          </w:p>
        </w:tc>
        <w:tc>
          <w:tcPr>
            <w:tcW w:w="1134" w:type="dxa"/>
            <w:vAlign w:val="center"/>
          </w:tcPr>
          <w:p>
            <w:pPr>
              <w:pStyle w:val="15"/>
            </w:pPr>
            <w:r>
              <w:t>B05990000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6310.00</w:t>
            </w:r>
          </w:p>
        </w:tc>
        <w:tc>
          <w:tcPr>
            <w:tcW w:w="964" w:type="dxa"/>
            <w:vAlign w:val="center"/>
          </w:tcPr>
          <w:p>
            <w:pPr>
              <w:pStyle w:val="14"/>
            </w:pPr>
            <w:r>
              <w:t>6310.00</w:t>
            </w:r>
          </w:p>
        </w:tc>
        <w:tc>
          <w:tcPr>
            <w:tcW w:w="964" w:type="dxa"/>
            <w:vAlign w:val="center"/>
          </w:tcPr>
          <w:p>
            <w:pPr>
              <w:pStyle w:val="14"/>
            </w:pPr>
          </w:p>
        </w:tc>
        <w:tc>
          <w:tcPr>
            <w:tcW w:w="964" w:type="dxa"/>
            <w:vAlign w:val="center"/>
          </w:tcPr>
          <w:p>
            <w:pPr>
              <w:pStyle w:val="14"/>
            </w:pPr>
            <w:r>
              <w:t>6310.00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园区社会事业发展建设项目</w:t>
            </w:r>
          </w:p>
        </w:tc>
        <w:tc>
          <w:tcPr>
            <w:tcW w:w="964" w:type="dxa"/>
            <w:vAlign w:val="center"/>
          </w:tcPr>
          <w:p>
            <w:pPr>
              <w:pStyle w:val="14"/>
            </w:pPr>
            <w:r>
              <w:t>1040.00</w:t>
            </w:r>
          </w:p>
        </w:tc>
        <w:tc>
          <w:tcPr>
            <w:tcW w:w="1134" w:type="dxa"/>
            <w:vAlign w:val="center"/>
          </w:tcPr>
          <w:p>
            <w:pPr>
              <w:pStyle w:val="15"/>
            </w:pPr>
            <w:r>
              <w:t>其他电力工业设备</w:t>
            </w:r>
          </w:p>
        </w:tc>
        <w:tc>
          <w:tcPr>
            <w:tcW w:w="1134" w:type="dxa"/>
            <w:vAlign w:val="center"/>
          </w:tcPr>
          <w:p>
            <w:pPr>
              <w:pStyle w:val="15"/>
            </w:pPr>
            <w:r>
              <w:t>A02179900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450.00</w:t>
            </w:r>
          </w:p>
        </w:tc>
        <w:tc>
          <w:tcPr>
            <w:tcW w:w="964" w:type="dxa"/>
            <w:vAlign w:val="center"/>
          </w:tcPr>
          <w:p>
            <w:pPr>
              <w:pStyle w:val="14"/>
            </w:pPr>
            <w:r>
              <w:t>450.00</w:t>
            </w:r>
          </w:p>
        </w:tc>
        <w:tc>
          <w:tcPr>
            <w:tcW w:w="964" w:type="dxa"/>
            <w:vAlign w:val="center"/>
          </w:tcPr>
          <w:p>
            <w:pPr>
              <w:pStyle w:val="14"/>
            </w:pPr>
          </w:p>
        </w:tc>
        <w:tc>
          <w:tcPr>
            <w:tcW w:w="964" w:type="dxa"/>
            <w:vAlign w:val="center"/>
          </w:tcPr>
          <w:p>
            <w:pPr>
              <w:pStyle w:val="14"/>
            </w:pPr>
            <w:r>
              <w:t>450.00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450.00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园区社会事业发展建设项目</w:t>
            </w:r>
          </w:p>
        </w:tc>
        <w:tc>
          <w:tcPr>
            <w:tcW w:w="964" w:type="dxa"/>
            <w:vAlign w:val="center"/>
          </w:tcPr>
          <w:p>
            <w:pPr>
              <w:pStyle w:val="14"/>
            </w:pPr>
            <w:r>
              <w:t>1040.00</w:t>
            </w:r>
          </w:p>
        </w:tc>
        <w:tc>
          <w:tcPr>
            <w:tcW w:w="1134" w:type="dxa"/>
            <w:vAlign w:val="center"/>
          </w:tcPr>
          <w:p>
            <w:pPr>
              <w:pStyle w:val="15"/>
            </w:pPr>
            <w:r>
              <w:t>其他专业施工</w:t>
            </w:r>
          </w:p>
        </w:tc>
        <w:tc>
          <w:tcPr>
            <w:tcW w:w="1134" w:type="dxa"/>
            <w:vAlign w:val="center"/>
          </w:tcPr>
          <w:p>
            <w:pPr>
              <w:pStyle w:val="15"/>
            </w:pPr>
            <w:r>
              <w:t>B05990000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60.00</w:t>
            </w:r>
          </w:p>
        </w:tc>
        <w:tc>
          <w:tcPr>
            <w:tcW w:w="964" w:type="dxa"/>
            <w:vAlign w:val="center"/>
          </w:tcPr>
          <w:p>
            <w:pPr>
              <w:pStyle w:val="14"/>
            </w:pPr>
            <w:r>
              <w:t>60.00</w:t>
            </w:r>
          </w:p>
        </w:tc>
        <w:tc>
          <w:tcPr>
            <w:tcW w:w="964" w:type="dxa"/>
            <w:vAlign w:val="center"/>
          </w:tcPr>
          <w:p>
            <w:pPr>
              <w:pStyle w:val="14"/>
            </w:pPr>
          </w:p>
        </w:tc>
        <w:tc>
          <w:tcPr>
            <w:tcW w:w="964" w:type="dxa"/>
            <w:vAlign w:val="center"/>
          </w:tcPr>
          <w:p>
            <w:pPr>
              <w:pStyle w:val="14"/>
            </w:pPr>
            <w:r>
              <w:t>60.00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园区社会事业发展建设项目</w:t>
            </w:r>
          </w:p>
        </w:tc>
        <w:tc>
          <w:tcPr>
            <w:tcW w:w="964" w:type="dxa"/>
            <w:vAlign w:val="center"/>
          </w:tcPr>
          <w:p>
            <w:pPr>
              <w:pStyle w:val="14"/>
            </w:pPr>
            <w:r>
              <w:t>1040.00</w:t>
            </w:r>
          </w:p>
        </w:tc>
        <w:tc>
          <w:tcPr>
            <w:tcW w:w="1134" w:type="dxa"/>
            <w:vAlign w:val="center"/>
          </w:tcPr>
          <w:p>
            <w:pPr>
              <w:pStyle w:val="15"/>
            </w:pPr>
            <w:r>
              <w:t>其他专业技术服务</w:t>
            </w:r>
          </w:p>
        </w:tc>
        <w:tc>
          <w:tcPr>
            <w:tcW w:w="1134" w:type="dxa"/>
            <w:vAlign w:val="center"/>
          </w:tcPr>
          <w:p>
            <w:pPr>
              <w:pStyle w:val="15"/>
            </w:pPr>
            <w:r>
              <w:t>C19990000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530.00</w:t>
            </w:r>
          </w:p>
        </w:tc>
        <w:tc>
          <w:tcPr>
            <w:tcW w:w="964" w:type="dxa"/>
            <w:vAlign w:val="center"/>
          </w:tcPr>
          <w:p>
            <w:pPr>
              <w:pStyle w:val="14"/>
            </w:pPr>
            <w:r>
              <w:t>530.00</w:t>
            </w:r>
          </w:p>
        </w:tc>
        <w:tc>
          <w:tcPr>
            <w:tcW w:w="964" w:type="dxa"/>
            <w:vAlign w:val="center"/>
          </w:tcPr>
          <w:p>
            <w:pPr>
              <w:pStyle w:val="14"/>
            </w:pPr>
          </w:p>
        </w:tc>
        <w:tc>
          <w:tcPr>
            <w:tcW w:w="964" w:type="dxa"/>
            <w:vAlign w:val="center"/>
          </w:tcPr>
          <w:p>
            <w:pPr>
              <w:pStyle w:val="14"/>
            </w:pPr>
            <w:r>
              <w:t>530.00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160.00</w:t>
            </w:r>
          </w:p>
        </w:tc>
      </w:tr>
    </w:tbl>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燕郊高新技术产业开发区管理委员会上年末固定资产金额为31769.30万元（详见下表），本年度我部门拟购置固定资产总额为</w:t>
      </w:r>
      <w:r>
        <w:rPr>
          <w:rFonts w:hint="eastAsia" w:ascii="Times New Roman" w:hAnsi="Times New Roman" w:eastAsia="仿宋_GB2312" w:cs="Times New Roman"/>
          <w:sz w:val="32"/>
          <w:szCs w:val="32"/>
          <w:lang w:val="en-US" w:eastAsia="zh-CN"/>
        </w:rPr>
        <w:t>0.00</w:t>
      </w:r>
      <w:r>
        <w:rPr>
          <w:rFonts w:hint="eastAsia" w:ascii="Times New Roman" w:hAnsi="Times New Roman" w:eastAsia="仿宋_GB2312" w:cs="Times New Roman"/>
          <w:sz w:val="32"/>
          <w:szCs w:val="32"/>
          <w:lang w:eastAsia="zh-CN"/>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9"/>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部门</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部门</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燕郊高新技术产业开发区管理委员会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w:t>
            </w:r>
            <w:r>
              <w:rPr>
                <w:rFonts w:hint="eastAsia" w:ascii="Times New Roman" w:hAnsi="Times New Roman" w:eastAsia="仿宋_GB2312" w:cs="Times New Roman"/>
                <w:b/>
                <w:bCs/>
                <w:kern w:val="0"/>
                <w:sz w:val="22"/>
                <w:lang w:eastAsia="zh-CN"/>
              </w:rPr>
              <w:t>部门</w:t>
            </w:r>
            <w:r>
              <w:rPr>
                <w:rFonts w:ascii="Times New Roman" w:hAnsi="Times New Roman" w:eastAsia="仿宋_GB2312" w:cs="Times New Roman"/>
                <w:b/>
                <w:bCs/>
                <w:kern w:val="0"/>
                <w:sz w:val="22"/>
              </w:rPr>
              <w:t>：万元）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31769.30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12757.66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3299.90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9638.72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2556.67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334.52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8341.80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19793.08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用财政拨款安排的因公出国（境）费、公务用车购置及运维费和公务接待费。其中，因公出国（境）费反映</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公务出国（境）的住宿费、旅费、伙食补助费、杂费、培训费等支出；公务用车购置及运维费反映</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公务用车购置费及租用费、燃料费、维修费、过路过桥费、保险费、安全奖励费用等支出；公务接待费反映</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w:t>
      </w:r>
      <w:r>
        <w:rPr>
          <w:rFonts w:hint="eastAsia" w:ascii="Times New Roman" w:hAnsi="Times New Roman" w:eastAsia="仿宋_GB2312" w:cs="Times New Roman"/>
          <w:b/>
          <w:sz w:val="32"/>
          <w:szCs w:val="32"/>
          <w:lang w:eastAsia="zh-CN"/>
        </w:rPr>
        <w:t>部门</w:t>
      </w:r>
      <w:r>
        <w:rPr>
          <w:rFonts w:ascii="Times New Roman" w:hAnsi="Times New Roman" w:eastAsia="仿宋_GB2312" w:cs="Times New Roman"/>
          <w:b/>
          <w:sz w:val="32"/>
          <w:szCs w:val="32"/>
        </w:rPr>
        <w:t>经营支出：</w:t>
      </w:r>
      <w:r>
        <w:rPr>
          <w:rFonts w:ascii="Times New Roman" w:hAnsi="Times New Roman" w:eastAsia="仿宋_GB2312" w:cs="Times New Roman"/>
          <w:sz w:val="32"/>
          <w:szCs w:val="32"/>
        </w:rPr>
        <w:t>指事业</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253C798-04A9-472A-8E7D-6518F664D8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embedRegular r:id="rId2" w:fontKey="{E947D3F7-18FF-45E4-906E-854C95B25D88}"/>
  </w:font>
  <w:font w:name="方正仿宋_GBK">
    <w:altName w:val="微软雅黑"/>
    <w:panose1 w:val="00000000000000000000"/>
    <w:charset w:val="86"/>
    <w:family w:val="script"/>
    <w:pitch w:val="default"/>
    <w:sig w:usb0="00000000" w:usb1="00000000" w:usb2="00000010" w:usb3="00000000" w:csb0="00040000" w:csb1="00000000"/>
    <w:embedRegular r:id="rId3" w:fontKey="{8D1799E4-B8EF-4B0F-89A8-34A85EC4C882}"/>
  </w:font>
  <w:font w:name="方正小标宋_GBK">
    <w:panose1 w:val="02000000000000000000"/>
    <w:charset w:val="86"/>
    <w:family w:val="script"/>
    <w:pitch w:val="default"/>
    <w:sig w:usb0="A00002BF" w:usb1="38CF7CFA" w:usb2="00082016" w:usb3="00000000" w:csb0="00040001" w:csb1="00000000"/>
    <w:embedRegular r:id="rId4" w:fontKey="{9130886F-DD59-4E50-B646-8D9910F9F562}"/>
  </w:font>
  <w:font w:name="仿宋_GB2312">
    <w:panose1 w:val="02010609030101010101"/>
    <w:charset w:val="86"/>
    <w:family w:val="modern"/>
    <w:pitch w:val="default"/>
    <w:sig w:usb0="00000001" w:usb1="080E0000" w:usb2="00000000" w:usb3="00000000" w:csb0="00040000" w:csb1="00000000"/>
    <w:embedRegular r:id="rId5" w:fontKey="{2A9E973B-92F5-4F2A-8B03-E3DC06205785}"/>
  </w:font>
  <w:font w:name="方正小标宋简体">
    <w:panose1 w:val="02000000000000000000"/>
    <w:charset w:val="86"/>
    <w:family w:val="auto"/>
    <w:pitch w:val="default"/>
    <w:sig w:usb0="00000001" w:usb1="08000000" w:usb2="00000000" w:usb3="00000000" w:csb0="00040000" w:csb1="00000000"/>
    <w:embedRegular r:id="rId6" w:fontKey="{CA36B7C5-C73F-4CA3-AF90-1A373A7312AC}"/>
  </w:font>
  <w:font w:name="楷体_GB2312">
    <w:panose1 w:val="02010609030101010101"/>
    <w:charset w:val="86"/>
    <w:family w:val="modern"/>
    <w:pitch w:val="default"/>
    <w:sig w:usb0="00000001" w:usb1="080E0000" w:usb2="00000000" w:usb3="00000000" w:csb0="00040000" w:csb1="00000000"/>
    <w:embedRegular r:id="rId7" w:fontKey="{B9C584AA-DAC8-42F2-ABA6-7D74281CA3EE}"/>
  </w:font>
  <w:font w:name="楷体">
    <w:panose1 w:val="02010609060101010101"/>
    <w:charset w:val="86"/>
    <w:family w:val="auto"/>
    <w:pitch w:val="default"/>
    <w:sig w:usb0="800002BF" w:usb1="38CF7CFA" w:usb2="00000016" w:usb3="00000000" w:csb0="00040001" w:csb1="00000000"/>
    <w:embedRegular r:id="rId8" w:fontKey="{0C09EB79-4A37-4594-967F-B37F39EB11A5}"/>
  </w:font>
  <w:font w:name="仿宋">
    <w:panose1 w:val="02010609060101010101"/>
    <w:charset w:val="86"/>
    <w:family w:val="auto"/>
    <w:pitch w:val="default"/>
    <w:sig w:usb0="800002BF" w:usb1="38CF7CFA" w:usb2="00000016" w:usb3="00000000" w:csb0="00040001" w:csb1="00000000"/>
    <w:embedRegular r:id="rId9" w:fontKey="{5ACF908D-172A-48C0-9302-7833C5A0FB17}"/>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QyNjBiNTBhMjhkNDI3ZGU4OWM3NDQyOGE4YzA0MzAifQ=="/>
  </w:docVars>
  <w:rsids>
    <w:rsidRoot w:val="00D347CC"/>
    <w:rsid w:val="000230E6"/>
    <w:rsid w:val="000E5891"/>
    <w:rsid w:val="0025632D"/>
    <w:rsid w:val="004A54AA"/>
    <w:rsid w:val="005A2FBD"/>
    <w:rsid w:val="00875CF4"/>
    <w:rsid w:val="008E5679"/>
    <w:rsid w:val="00944233"/>
    <w:rsid w:val="00B40732"/>
    <w:rsid w:val="00B80935"/>
    <w:rsid w:val="00D347CC"/>
    <w:rsid w:val="02C170CB"/>
    <w:rsid w:val="03441AFE"/>
    <w:rsid w:val="04873F2E"/>
    <w:rsid w:val="06C62F02"/>
    <w:rsid w:val="06F74D77"/>
    <w:rsid w:val="07173C0C"/>
    <w:rsid w:val="0B533E16"/>
    <w:rsid w:val="0B9F389C"/>
    <w:rsid w:val="0C6E75AB"/>
    <w:rsid w:val="0C946333"/>
    <w:rsid w:val="0F154BAB"/>
    <w:rsid w:val="11E4793A"/>
    <w:rsid w:val="123A29F6"/>
    <w:rsid w:val="130962FA"/>
    <w:rsid w:val="13CC668E"/>
    <w:rsid w:val="151845D2"/>
    <w:rsid w:val="15C7584D"/>
    <w:rsid w:val="16836F24"/>
    <w:rsid w:val="1A774239"/>
    <w:rsid w:val="1A862C7C"/>
    <w:rsid w:val="1B665FA4"/>
    <w:rsid w:val="1BF849C2"/>
    <w:rsid w:val="1D0F6829"/>
    <w:rsid w:val="202A40A9"/>
    <w:rsid w:val="209C7156"/>
    <w:rsid w:val="212161A3"/>
    <w:rsid w:val="22BD6E2B"/>
    <w:rsid w:val="2519649B"/>
    <w:rsid w:val="26071CD7"/>
    <w:rsid w:val="26A23F70"/>
    <w:rsid w:val="277C2408"/>
    <w:rsid w:val="2A9913AE"/>
    <w:rsid w:val="2C992FCC"/>
    <w:rsid w:val="2D614C14"/>
    <w:rsid w:val="336145C2"/>
    <w:rsid w:val="33DE3382"/>
    <w:rsid w:val="33EA1563"/>
    <w:rsid w:val="342568D0"/>
    <w:rsid w:val="34C42454"/>
    <w:rsid w:val="35D543C7"/>
    <w:rsid w:val="37D34FDD"/>
    <w:rsid w:val="385C0B74"/>
    <w:rsid w:val="3A3776B7"/>
    <w:rsid w:val="3AFD2A1C"/>
    <w:rsid w:val="3B800BCA"/>
    <w:rsid w:val="3E1014FC"/>
    <w:rsid w:val="40023042"/>
    <w:rsid w:val="424F5BCE"/>
    <w:rsid w:val="43DB1093"/>
    <w:rsid w:val="44AD522F"/>
    <w:rsid w:val="44D0391B"/>
    <w:rsid w:val="45F054C6"/>
    <w:rsid w:val="47AE2B8A"/>
    <w:rsid w:val="49136168"/>
    <w:rsid w:val="49A843B3"/>
    <w:rsid w:val="4A546181"/>
    <w:rsid w:val="4BCB4EDC"/>
    <w:rsid w:val="4DB96BAA"/>
    <w:rsid w:val="4DF44037"/>
    <w:rsid w:val="4EAC48D7"/>
    <w:rsid w:val="4F7B4386"/>
    <w:rsid w:val="53B316E5"/>
    <w:rsid w:val="54205F91"/>
    <w:rsid w:val="55BD46EA"/>
    <w:rsid w:val="569649E6"/>
    <w:rsid w:val="56983779"/>
    <w:rsid w:val="58393836"/>
    <w:rsid w:val="592812B2"/>
    <w:rsid w:val="59D979CB"/>
    <w:rsid w:val="5B98279E"/>
    <w:rsid w:val="5DAB77EA"/>
    <w:rsid w:val="5EA92062"/>
    <w:rsid w:val="617E2746"/>
    <w:rsid w:val="6256352B"/>
    <w:rsid w:val="6386100E"/>
    <w:rsid w:val="654D3A6F"/>
    <w:rsid w:val="66497EE0"/>
    <w:rsid w:val="672131A8"/>
    <w:rsid w:val="6BF2593F"/>
    <w:rsid w:val="6D2F689D"/>
    <w:rsid w:val="6D94212F"/>
    <w:rsid w:val="6EB21A50"/>
    <w:rsid w:val="6F3E2352"/>
    <w:rsid w:val="71384D7B"/>
    <w:rsid w:val="725F5C27"/>
    <w:rsid w:val="74B27B5E"/>
    <w:rsid w:val="750018DF"/>
    <w:rsid w:val="757A400F"/>
    <w:rsid w:val="7A0470F7"/>
    <w:rsid w:val="7A707A80"/>
    <w:rsid w:val="7AA106F1"/>
    <w:rsid w:val="7CB1695B"/>
    <w:rsid w:val="7CF7699C"/>
    <w:rsid w:val="7D07082C"/>
    <w:rsid w:val="7F4C2DEE"/>
    <w:rsid w:val="7F9974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autoRedefine/>
    <w:qFormat/>
    <w:uiPriority w:val="0"/>
    <w:pPr>
      <w:keepNext/>
      <w:keepLines/>
      <w:spacing w:before="340" w:beforeLines="0" w:after="330" w:afterLines="0" w:line="576" w:lineRule="auto"/>
      <w:outlineLvl w:val="0"/>
    </w:pPr>
    <w:rPr>
      <w:rFonts w:cs="Times New Roman"/>
      <w:b/>
      <w:kern w:val="44"/>
      <w:sz w:val="44"/>
      <w:lang w:val="en-US" w:eastAsia="zh-CN"/>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autoRedefine/>
    <w:qFormat/>
    <w:uiPriority w:val="0"/>
    <w:rPr>
      <w:sz w:val="18"/>
      <w:szCs w:val="18"/>
    </w:rPr>
  </w:style>
  <w:style w:type="paragraph" w:styleId="4">
    <w:name w:val="footer"/>
    <w:basedOn w:val="1"/>
    <w:autoRedefine/>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autoRedefine/>
    <w:qFormat/>
    <w:uiPriority w:val="0"/>
    <w:rPr>
      <w:rFonts w:ascii="Times New Roman" w:hAnsi="Times New Roman" w:cs="Times New Roman"/>
      <w:szCs w:val="24"/>
    </w:rPr>
  </w:style>
  <w:style w:type="paragraph" w:styleId="7">
    <w:name w:val="footnote text"/>
    <w:basedOn w:val="1"/>
    <w:autoRedefine/>
    <w:qFormat/>
    <w:uiPriority w:val="0"/>
    <w:pPr>
      <w:snapToGrid w:val="0"/>
      <w:jc w:val="left"/>
    </w:pPr>
    <w:rPr>
      <w:rFonts w:cs="Times New Roman"/>
      <w:sz w:val="18"/>
      <w:szCs w:val="18"/>
    </w:rPr>
  </w:style>
  <w:style w:type="paragraph" w:styleId="8">
    <w:name w:val="toc 2"/>
    <w:basedOn w:val="1"/>
    <w:next w:val="1"/>
    <w:autoRedefine/>
    <w:qFormat/>
    <w:uiPriority w:val="0"/>
    <w:pPr>
      <w:ind w:left="200" w:leftChars="200"/>
    </w:pPr>
    <w:rPr>
      <w:rFonts w:ascii="Times New Roman" w:hAnsi="Times New Roman" w:cs="Times New Roman"/>
      <w:szCs w:val="24"/>
    </w:rPr>
  </w:style>
  <w:style w:type="character" w:styleId="11">
    <w:name w:val="footnote reference"/>
    <w:autoRedefine/>
    <w:qFormat/>
    <w:uiPriority w:val="0"/>
    <w:rPr>
      <w:vertAlign w:val="superscript"/>
    </w:rPr>
  </w:style>
  <w:style w:type="paragraph" w:customStyle="1" w:styleId="12">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1"/>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14">
    <w:name w:val="单元格样式4"/>
    <w:basedOn w:val="1"/>
    <w:autoRedefine/>
    <w:qFormat/>
    <w:uiPriority w:val="0"/>
    <w:pPr>
      <w:widowControl/>
      <w:jc w:val="right"/>
    </w:pPr>
    <w:rPr>
      <w:rFonts w:ascii="方正书宋_GBK" w:hAnsi="方正书宋_GBK" w:eastAsia="方正书宋_GBK" w:cs="方正书宋_GBK"/>
      <w:kern w:val="0"/>
      <w:szCs w:val="24"/>
      <w:lang w:eastAsia="uk-UA"/>
    </w:rPr>
  </w:style>
  <w:style w:type="paragraph" w:customStyle="1" w:styleId="15">
    <w:name w:val="单元格样式2"/>
    <w:basedOn w:val="1"/>
    <w:autoRedefine/>
    <w:qFormat/>
    <w:uiPriority w:val="0"/>
    <w:pPr>
      <w:widowControl/>
      <w:jc w:val="left"/>
    </w:pPr>
    <w:rPr>
      <w:rFonts w:ascii="方正书宋_GBK" w:hAnsi="方正书宋_GBK" w:eastAsia="方正书宋_GBK" w:cs="方正书宋_GBK"/>
      <w:kern w:val="0"/>
      <w:szCs w:val="24"/>
      <w:lang w:eastAsia="uk-UA"/>
    </w:rPr>
  </w:style>
  <w:style w:type="paragraph" w:customStyle="1" w:styleId="16">
    <w:name w:val="单元格样式3"/>
    <w:basedOn w:val="1"/>
    <w:autoRedefine/>
    <w:qFormat/>
    <w:uiPriority w:val="0"/>
    <w:pPr>
      <w:widowControl/>
      <w:jc w:val="center"/>
    </w:pPr>
    <w:rPr>
      <w:rFonts w:ascii="方正书宋_GBK" w:hAnsi="方正书宋_GBK" w:eastAsia="方正书宋_GBK" w:cs="方正书宋_GBK"/>
      <w:kern w:val="0"/>
      <w:szCs w:val="24"/>
      <w:lang w:eastAsia="uk-UA"/>
    </w:rPr>
  </w:style>
  <w:style w:type="paragraph" w:customStyle="1" w:styleId="17">
    <w:name w:val="单元格样式6"/>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7"/>
    <w:basedOn w:val="1"/>
    <w:autoRedefine/>
    <w:qFormat/>
    <w:uiPriority w:val="0"/>
    <w:pPr>
      <w:widowControl/>
      <w:jc w:val="right"/>
    </w:pPr>
    <w:rPr>
      <w:rFonts w:ascii="方正书宋_GBK" w:hAnsi="方正书宋_GBK" w:eastAsia="方正书宋_GBK" w:cs="方正书宋_GBK"/>
      <w:b/>
      <w:kern w:val="0"/>
      <w:szCs w:val="24"/>
      <w:lang w:eastAsia="uk-UA"/>
    </w:rPr>
  </w:style>
  <w:style w:type="paragraph" w:customStyle="1" w:styleId="19">
    <w:name w:val="单元格样式5"/>
    <w:basedOn w:val="1"/>
    <w:autoRedefine/>
    <w:qFormat/>
    <w:uiPriority w:val="0"/>
    <w:pPr>
      <w:widowControl/>
      <w:jc w:val="left"/>
    </w:pPr>
    <w:rPr>
      <w:rFonts w:ascii="方正书宋_GBK" w:hAnsi="方正书宋_GBK" w:eastAsia="方正书宋_GBK" w:cs="方正书宋_GBK"/>
      <w:b/>
      <w:kern w:val="0"/>
      <w:szCs w:val="24"/>
      <w:lang w:eastAsia="uk-UA"/>
    </w:rPr>
  </w:style>
  <w:style w:type="paragraph" w:customStyle="1" w:styleId="20">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character" w:customStyle="1" w:styleId="23">
    <w:name w:val="font11"/>
    <w:basedOn w:val="10"/>
    <w:autoRedefine/>
    <w:qFormat/>
    <w:uiPriority w:val="0"/>
    <w:rPr>
      <w:rFonts w:hint="default" w:ascii="方正书宋_GBK" w:hAnsi="方正书宋_GBK" w:eastAsia="方正书宋_GBK" w:cs="方正书宋_GBK"/>
      <w:b/>
      <w:bCs/>
      <w:color w:val="000000"/>
      <w:sz w:val="21"/>
      <w:szCs w:val="21"/>
      <w:u w:val="none"/>
    </w:rPr>
  </w:style>
  <w:style w:type="paragraph" w:customStyle="1" w:styleId="24">
    <w:name w:val="单元格样式20"/>
    <w:basedOn w:val="1"/>
    <w:autoRedefine/>
    <w:qFormat/>
    <w:uiPriority w:val="0"/>
    <w:rPr>
      <w:rFonts w:ascii="方正小标宋_GBK" w:hAnsi="方正小标宋_GBK" w:eastAsia="方正小标宋_GBK" w:cs="方正小标宋_GBK"/>
    </w:rPr>
  </w:style>
  <w:style w:type="paragraph" w:customStyle="1" w:styleId="25">
    <w:name w:val="单元格样式23"/>
    <w:basedOn w:val="1"/>
    <w:autoRedefine/>
    <w:qFormat/>
    <w:uiPriority w:val="0"/>
    <w:pPr>
      <w:jc w:val="right"/>
    </w:pPr>
    <w:rPr>
      <w:rFonts w:ascii="方正书宋_GBK" w:hAnsi="方正书宋_GBK" w:eastAsia="方正书宋_GBK" w:cs="方正书宋_GBK"/>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100</Pages>
  <Words>30686</Words>
  <Characters>35386</Characters>
  <Lines>23</Lines>
  <Paragraphs>6</Paragraphs>
  <TotalTime>18</TotalTime>
  <ScaleCrop>false</ScaleCrop>
  <LinksUpToDate>false</LinksUpToDate>
  <CharactersWithSpaces>35828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Je t'aime</cp:lastModifiedBy>
  <cp:lastPrinted>2018-01-30T06:12:00Z</cp:lastPrinted>
  <dcterms:modified xsi:type="dcterms:W3CDTF">2023-03-07T02:32:44Z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4E44EDF0EF9F46F78136DEDCDFA20100</vt:lpwstr>
  </property>
</Properties>
</file>